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ALIMENTOS PROVISIONAIS</w:t>
      </w:r>
    </w:p>
    <w:p>
      <w:r>
        <w:rPr>
          <w:i/>
          <w:iCs/>
          <w:color w:val="666666"/>
        </w:rPr>
        <w:t xml:space="preserve">INVESTIGAÇÃO DE PATERNIDADE</w:t>
      </w:r>
    </w:p>
    <w:p/>
    <w:p>
      <w:r>
        <w:rPr>
          <w:b/>
          <w:bCs/>
        </w:rPr>
        <w:t xml:space="preserve">Recurso: </w:t>
      </w:r>
      <w:r>
        <w:t xml:space="preserve">RE 71.050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25/02/1982</w:t>
      </w:r>
    </w:p>
    <w:p/>
    <w:p>
      <w:r>
        <w:t xml:space="preserve">ATO ILÍCITO — CONCESSÃO SEM QUE CONSTE DO PEDIDO INICIAL - SE CONSTITUI JULGAMENTO "EXTRA PETITA"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recurso extraordinário com apoio nas letras "a" e "d" do permissivo constitucional. Dos acórdãos trazidos à colação como divergentes da decisão recorrida, somente o proferido no RE 71.050, na verdade, o é, pois traz a emente. seguinte: "Responsabilidade civil. Danos causados por construção a prédio contíguo. Indenização. Não inclusão da correção monetária. Jurisprudência do STF a respeito dessa forma de atualizar a reparação. Na indenização por danos causados a prédio vizinho, por prédio em construção, não inclui a correção monetária." - Acontece, porém, haver se modificado a jurisprudência do Supremo Tribunal Federal no sentido de conceder a correção monetária em toda indenização por ato ilícito, hipótese concretizada na ação proposta pelo recorrido. - Não pode ainda o recurso prosperar com fundamento na letra a sob fundamento de ter o tribunal julgado "ultra petita", vez que o pedido de correção monetária não constou da inicial. - Tal não ocorreu. Na atualização do valor dos danos, nada se corrige; apenas se coloca o credor na situação em que estaria se não ocorresse o ato ilícito que lhe acarretou o prejuízo. Portanto, não pode falar em pedido novo. A chamada aqui correção monetária não passa de mero elemento do cálculo da parcela indenizatória. Não se confunde com verba indenizatória distinta, o que constituiria extensão do pedido ou inovação da sentença. - Esta egrégia Primeira Turma, no RE nº 84.844, decidiu: "Ação de indenização por ato lícito, em que houve danos exclusivamente materiais. Atualização do valor da indenização. Possibilidade, embora não pedida na inicial, nem estipulada na sentença exequenda." - No mesmo sentido se pronunciou a Segunda Turma, no RE 83.995, no qual o emi nente Ministro LEITÃO DE ABREU retificou seu voto, ante o pronunciamento do não menos eminente Ministro XAVIER DE ALBUQUERQUE, nos termos seguintes: "Assim também já decidi em casos nos quais se reputava julgamento "ultra petita" a concessão de correção monetária sem pedido expresso na inicial. Sobre isso, contudo voltei a refletir, e convenci-me de que o pedido deve ser interpretado como abrangente da correção monetária, que constitui mero instrumento da manutenção de identidade da prestação, quando alcançada pela desvalorização da moeda. Foi o que ponderei ao votar no RE 86.717, aqui relatado pelo eminente Ministro CORDEIRO GUERRA e julgado a 18 de março passado". (RTJ 84/564). - Por estes motivos, não conheço do recurso. Julgado em 26-02-1982 Revista Trimestral de Jurisprudência. Maio, 1982 - Vol. 100 - Pág. 773 EMFOR 411 EMENTA: - Nos pedidos de indenização se compreende o da identidade da moeda no tempo, e, assim, cabível é a correção monetária, sob pena de se ver frustada a condenação imposta. RESUMO DO ACÓRDÃO: - ... Invoca a recorrente acórdão de que fui relator, RE 86.717, em que salientei: "No pedido de completa indenização dos danos havidos pelo ato ilícito se compreende a atualização dos seus valores por ocasião da execução." RTJ 81/315. - Acrescentando: "Creio que o julgamento não foi "ultra petita", pois os autores pediram a completa indenização dos danos, e, para isso, há que atender a atualização dos valores, sob pena de frustrar-se a indenização, quando a sentença foi prolatada há mais de 5 anos após o sinistro, e hoje são decorridos 7 anos da data do evento. Tenho sempre reconhecido que a correção monetária nada mais é que o instrumento de identidade da moeda através do tempo." - No mesmo sentido o acórdão de lavra do saudoso Ministro TEMISTOCLES CAVALCANTI, RE 63.049, GB, RTJ 44/109. - Na espécie, a ação foi proposta como ordinária, para rescindir es escrituras nela mencionadas, cumulada com a reintegração de posse e perdas e danos, estas já materializadas, em parte, nas multas contratuais, objeto da interpelação judicial inclusive, (...), mais as que vencerem até a citação, e nas benfeitorias já realizados no terreno, além das custas e honorários de advogado." - O acórdão da apelação reconheceu o inadimplemento da recorrida, julgou procedente a reintegração de posse, e considerou moratórias as multas contratuais, que mandou corrigir monetariamente sob pena de frustrar-se a prestação jurisdicional, desobrigou ainda a autora de indenizar as acessões, por inúteis. - O acórdão recorrido não negou o cabimento da correção monetária em tese. O que entendeu é que não foi expressamente pedida na inicial. - Ora, nos acórdãos trazidos à colação, entendeu esta Corte que pedida a indenização esta há de ser com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constitui julgamento "ultra petita" a decisão que, em ação de indenização, concede a correção monetária sem que conste o pedido da inicial.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2026-10-26T02:21:28.378Z</dcterms:created>
  <dcterms:modified xsi:type="dcterms:W3CDTF">2026-10-26T02:21:28.378Z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