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89.464</w:t>
      </w:r>
    </w:p>
    <w:p>
      <w:r>
        <w:rPr>
          <w:b/>
          <w:bCs/>
        </w:rPr>
        <w:t xml:space="preserve">Julgado em: </w:t>
      </w:r>
      <w:r>
        <w:t xml:space="preserve">23/11/1981</w:t>
      </w:r>
    </w:p>
    <w:p/>
    <w:p>
      <w:r>
        <w:t xml:space="preserve">LIQUIDAÇÃO — DIREITO DO ACIONISTA AO RECEBER A SUA PARTE NO CAPITAL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Descumprindo o liquidante, por culpa do espólio do sócio majoritário, que não entregou o dinheiro correspondente ao valor das ações da autora, julgada procedente a ação, legítima era a correção monetária do devido por força do deliberado na Assembléia Geral, e descumprido, por culpa do espólio do acionista majoritário. - A dívida, era, a meu ver, de valor e não de dinheiro. - Aliás, a correção monetária nada mais é que a identidade da moeda no tempo. - Ora, ainda que se considerasse a divida decorrente do inadimplemento do espólio réu, dívida de dinheiro, este deveria ser mantido em sua integridade, pela correção monetária, sob pena de não ocorrer o pagamento integral do débito. - Como observa o parecer do ilustre procurador da República, JOÃO PAULO ALEXANDRE DE BARROS, a correção monetária tem sido admitida por esta Corte no caso da dissolução de Sociedades Limitadas - RE 89.464 e 91.044, RTJ 89/1.054, e 91/177, (...), e hoje foi consagrada pela Lei nº 6.899, de 8 de abril de 1981, que não mais distingue entre divida de valor e de dinheiro. - Corrigida monetariamente a dívida, o seu pagamento, com juros, satisfaz, no meu entender, o débito pelo inadimplemento do espólio réu em fornecer o numerário a que se obrigara na liquidação. - Postas estas premissas, tenho que o v. acórdão recorrido bem decidiu a espécie. - ............................................................................. Julgado em 24-11-1981 Revista Trimestral de Jurisprudência. Junho, 1982 - vol. 100 - Pág. 1.210 EMFOR 411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Cabível é a aplicação da correção monetária à parte que, por direito, cabe ao acionista receber no capital da sociedade em liquidação.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2026-06-17T15:20:41.348Z</dcterms:created>
  <dcterms:modified xsi:type="dcterms:W3CDTF">2026-06-17T15:20:41.349Z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