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Julgado em: </w:t>
      </w:r>
      <w:r>
        <w:t xml:space="preserve">05/11/1980</w:t>
      </w:r>
    </w:p>
    <w:p/>
    <w:p>
      <w:r>
        <w:t xml:space="preserve">USO PELA MULHER — QUANDO SE LHE RECONHECE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não merece censura no ponto em que decretou o divórcio com base no art. 40, c/c o art. 5º, 1º, da Lei nº 6.515, de 26-12-77. Efetivamente, o casal está separado de fato há mais de 15 anos, demonstrando as inúmeras ações que correram entre as partes, na comarca (...) a impossibilidade da reconstituição da vida em comum. - Todavia, afastando a culpa da ré e mantendo a obrigação do marido de lhe prestar assistência, impôs-lhe, indevidamente, "data venia", a perda do uso do nome do marido. Ora, o art. 17 da Lei nº 6.515/77 prescreve que e mulher deve voltar a usar o nome de solteira apenas na hipótese do art. 5º, "caput", (fundamento desacolhido pela r. sentença), ou quando tome a iniciativa da separação (§§ 1º e 2º do art. 5º). No caso, não cogitou o digno magistrado de tal circunstância. Por conseguinte, o uso do nome do marido deverá permanecer como opção do cônjuge inocente (§ 2º do art. 17). - Daí por que dão provimento parcial ao recurso para possibilitar à ré o use do nome do marido, mantida no mais, a r. sentença recorrida. Julgado em 06-11-1980 Revista dos Tribunais. Maio, 1981 - Vol. 547 - Pág. 63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§ 2º do art. 17 da Lei Nº 6.515/77. - Não cabendo à mulher a iniciativa da separação e sendo ela inocente, deverá permanecer como opção sua o uso do nome do marido.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2026-07-28T04:15:53.702Z</dcterms:created>
  <dcterms:modified xsi:type="dcterms:W3CDTF">2026-07-28T04:15:53.702Z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