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Julgado em: </w:t>
      </w:r>
      <w:r>
        <w:t xml:space="preserve">05/11/1980</w:t>
      </w:r>
    </w:p>
    <w:p/>
    <w:p>
      <w:r>
        <w:t xml:space="preserve">USO PELA MULHER — QUANDO SE LHE RECONHECE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não merece censura no ponto em que decretou o divórcio com base no art. 40, c/c o art. 5º, 1º, da Lei nº 6.515, de 26-12-77. Efetivamente, o casal está separado de fato há mais de 15 anos, demonstrando as inúmeras ações que correram entre as partes, na comarca (...) a impossibilidade da reconstituição da vida em comum. - Todavia, afastando a culpa da ré e mantendo a obrigação do marido de lhe prestar assistência, impôs-lhe, indevidamente, "data venia", a perda do uso do nome do marido. Ora, o art. 17 da Lei nº 6.515/77 prescreve que e mulher deve voltar a usar o nome de solteira apenas na hipótese do art. 5º, "caput", (fundamento desacolhido pela r. sentença), ou quando tome a iniciativa da separação (§§ 1º e 2º do art. 5º). No caso, não cogitou o digno magistrado de tal circunstância. Por conseguinte, o uso do nome do marido deverá permanecer como opção do cônjuge inocente (§ 2º do art. 17). - Daí por que dão provimento parcial ao recurso para possibilitar à ré o use do nome do marido, mantida no mais, a r. sentença recorrida. Julgado em 06-11-1980 Revista dos Tribunais. Maio, 1981 - Vol. 547 - Pág. 63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§ 2º do art. 17 da Lei Nº 6.515/77. - Não cabendo à mulher a iniciativa da separação e sendo ela inocente, deverá permanecer como opção sua o uso do nome do marido.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2026-10-26T05:58:15.710Z</dcterms:created>
  <dcterms:modified xsi:type="dcterms:W3CDTF">2026-10-26T05:58:15.710Z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