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HONORÁRIOS DE ADVOGADO</w:t>
      </w:r>
    </w:p>
    <w:p/>
    <w:p>
      <w:r>
        <w:rPr>
          <w:b/>
          <w:bCs/>
        </w:rPr>
        <w:t xml:space="preserve">Julgado em: </w:t>
      </w:r>
      <w:r>
        <w:t xml:space="preserve">19/05/1982</w:t>
      </w:r>
    </w:p>
    <w:p/>
    <w:p>
      <w:r>
        <w:t xml:space="preserve">DESTINO A ARMAZÉM GERAL DO PRÓPRIO REMETENTE — SE CONSTITUI FATO GERADOR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estabelece o art. 253, do Decreto nº 5.577, de 18 de maio de 1978, que aprovou a Consolidação da Legislação Tributária do Estado de Santa Catarina: "as operações sem débito do Imposto sobre Circulação de Mercadorias são as seguintes: IV - a saída da mercadoria com destino a armazém geral situado neste Estado, para depósito em nome do remetente. Decreto-lei nº 406, art. 1º, § 2º; V - a saída de mercadoria com destino a depósito fechado do próprio contribuinte, localizado neste Estado". - Ora, se comprovado ficou pela própria notificação..., que a mercadoria era destinada a... - Armazém Geral não há negar a não incidência do Imposto sobre Circulação de Mercadorias. - E esta é a orientação Jurisprudencial: "a simples circulação física da mercadoria entre a filial e a matriz de indústria madeireira não implica, na caracterização do fato gerador do ICM. Desacompanhada a circulação física, de reflexos econômicos com relevância jurídica, não há que falar em fato gerador da obrigação tributária" (JC, vol. 7/8, pág. 241). - ......................................................................... - Por estas razões é que se confirmou a sentença em reexame. Julgado em 20-05-1982 Jurisprudência Catarinense. 3º Trimestre, 1982 - Nº XXXVII - Pág. 59 EMFOR 411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saída de mercadoria com destino a armazém geral situado no Estado, para depósito em nome do remetente não constitui fato gerador do Imposto sobre Circulação de Mercadorias. (Trecho do relatório)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2026-10-26T02:35:35.250Z</dcterms:created>
  <dcterms:modified xsi:type="dcterms:W3CDTF">2026-10-26T02:35:35.250Z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