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HONORÁRIOS DE ADVOGADO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13/10/1982</w:t>
      </w:r>
    </w:p>
    <w:p/>
    <w:p>
      <w:r>
        <w:t xml:space="preserve">SE É APLICÁVEL AO CONSTRUTOR COM ENTREGA DE MATERIAIS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há como acolher a preliminar de prescrição que o ora apelante opôs na contestação e ratificou em suas razões de recurso. A prescrição especial de alínea IV do § 7º do art. 178 do Código Civil refere-se à "ação dos engenheiros, arquitetos, agrimensores e estereômetras, por seus honorários". Por ser especial e restritiva de direito não pode essa previsão do legislador comportar interpretação extensiva. E não há como ampliá-la para nela incluir a ação de cobrança do preço de uma empreitada de serviços e materiais, ainda que o credor seja construtor, cuja atividade não pode ser equiparada à do engenheiro ou à do arquiteto, definidos nessa norma especial porque profissionais liberais, nessa qualidade. O instrumento..., em que se funda essencialmente a ação se refere à liquidação do custo de quatro obras que o falecido.., fez para o réu "sob o regime de empreitada", ficando todos os encargos, despesas, mão-de-obra e material por conta do empreiteiro. Tem sido entendido tranquilamente, em doutrina e jurisprudência, que a prescrição especial do art. 178, § 7º, IV do Código Civil não se aplica às ações relativas a empreitadas, mais ainda com fornecimento de materiais. Julgado em 14-10-1982 Arquivo do Ementário Forense, TJ/1.080 EMFOR 411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incide a prescrição do art. 178, § 7º, IV do Código Civil sobre ação de cobrança de saldo verificado a favor do construtor em empreitada com fornecimento de materiais, pois não há como interpretar extensivamente aquela norma que restringe a aplicação da regra geral do art. 177, especificadamente com referência a engenheiros e arquitetos.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2026-10-26T03:40:30.170Z</dcterms:created>
  <dcterms:modified xsi:type="dcterms:W3CDTF">2026-10-26T03:40:30.170Z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