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recurso extraordinário -</w:t>
      </w:r>
    </w:p>
    <w:p>
      <w:r>
        <w:rPr>
          <w:b/>
          <w:bCs/>
        </w:rPr>
        <w:t xml:space="preserve">Julgado em: </w:t>
      </w:r>
      <w:r>
        <w:t xml:space="preserve">02/11/1981</w:t>
      </w:r>
    </w:p>
    <w:p/>
    <w:p>
      <w:r>
        <w:t xml:space="preserve">ACOLHIMENTO — SE DISPENSA OS PRESSUPOSTOS EXIGÍVEIS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relevância, da questão federal admitida, por esta Corte, no procedimento próprio, apenas tem por efeito liberar o recurso do entrave regimental, mas, isso posto, não dispensa da satisfação dos pressupostos exigíveis de todo recurso extraordinário. - Ora, o que a meu ver se opõe ao conhecimento, no caso, é a falta de prequestionamento, da disciplina legal dada como contrariada, ou seja, o descompasso ou o desencontro entre o que é matéria de acórdão e o que é postulado no recurso. - Com efeito, o recurso vem interposto pela letra a, dando como violados o art. 95 e 75 da Lei nº 4.728 e resoluções do Banco Central, fundadas na competência que lhes dê a Lei nº 4.595/64. Desses textos resulta evidente a necessidade de ser levado a protesto o contrato de câmbio inadimplido, não só para viabilizar judicialmente a execução, como para viabilizar administrativamente a regularização da posição cambial do Banco do Brasil perante o Banco Central. - Está claro, porém, que o acórdão recorrido não aborda essa temática, não negando consequentemente, a existência desses condicionamentos do contrato de câmbio. É mesmo induvidoso que aí não se nega a necessidade do protesto e a pretensão de realizá-lo como medida prévia para viabilizar a ação executiva, decorrente da inadimplência contratual. - O plano em que se situa o acórdão recorrido é apenas o de conceder medida cautelar, preparatória da ação, para sustar a realização do protesto, até proposta e julgada a ação de desconstituição da relação jurídico-contratual. Dão-se motivos que se prendem à conveniência da concessão da medida cautelar inominada até que solucionado o mérito da relação jurídica complexa e subjacente. - A ação cautelar tem os seus pressupostos e fundamentos estabelecidos em lei, e sob esse prisma é que poderia ter sido atacado o acórdão recorrido que a tal matéria se resume. Entretanto, como se viu, o recurso não ataca o fundamento da decisão recorrida, isto é, a providência cautelar nela disposta, e, ao contrário, suscita uma controvérsia jurídica sobre a necessidade e o efeito do protesto do contrato de câmbio, que nele não se ventilou. Somente ao ensejo das razões do recurso é que o Recorrente equaciona a matéria nos termos dos arts. 797 e 798 do Código de Processo Civil, sob color de inocorrência de excepcionalidade e irreparabilidade do dano, mas se trata de uma correção serôdia. - Para que pudesse conter a controvérsia ora proposta teria sido necessário que o sucinto acórdão recorrido tivesse sido provocado por embargos de declaração, não bastando que se diga que a violação dos dispositivos legais invocados tenha resultado, automaticamente, da sustação liminar do protesto em causa. - Pelo exposto, e tendo em vista as Súmulas nº. 282 e 356, não conheço do recurso. Julgado em 03-11-1981 Revista Trimestral de Jurisprudência Maio, 1982 - Vol. 100 - pág. 775 (*) In "EMENTÁRIO FORENSE", Nº 195, t. RECURSO EXTRAORDINÁRIO, st. CABIMENTO. (**) In "EMENTÁRIO FORENSE", Nº 196, t. RECURSO EXTRAORDINÁRIO, st CABIMENTO.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acolhida pela Corte, da arguição de relevância tem por efeito liberar o recurso extraordinário do entrave regimental, mas não dispensa, para efeito de conhecimento, da satisfação dos pressupostos exigíveis, inclusive o prequestionamento (Súmula 282 (*) e 356 (**)).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2026-10-26T04:56:33.362Z</dcterms:created>
  <dcterms:modified xsi:type="dcterms:W3CDTF">2026-10-26T04:56:33.362Z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