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PROTEÇÃO DO INTERESSE DIFUSO</w:t>
      </w:r>
    </w:p>
    <w:p/>
    <w:p>
      <w:r>
        <w:rPr>
          <w:b/>
          <w:bCs/>
        </w:rPr>
        <w:t xml:space="preserve">Recurso: </w:t>
      </w:r>
      <w:r>
        <w:t xml:space="preserve">Recurso Especial 208.586/</w:t>
      </w:r>
    </w:p>
    <w:p>
      <w:r>
        <w:rPr>
          <w:b/>
          <w:bCs/>
        </w:rPr>
        <w:t xml:space="preserve">Julgado em: </w:t>
      </w:r>
      <w:r>
        <w:t xml:space="preserve">21/06/1999</w:t>
      </w:r>
    </w:p>
    <w:p/>
    <w:p>
      <w:r>
        <w:t xml:space="preserve">AÇÃO CIVIL PÚBLICA — MEIO IMPRÓPRIO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civil pública é inadequada para o reconhecimento da inconstitucionalidade da lei, sob pena de substituir a ação direta de inconstitucionalidade, conforme decidiu o Superior Tribunal de Justiça, no Recurso Especial n. 208.586/MG, julgado em 22.06.99, com acórdão relatado pelo Ministro José Delgado. - Quanto a esse aspecto, assim, há ausência de interesse de agir. - Ante o exposto, o voto nega provimento ao recurso. Ac. de 26-10-1999 (Voto nº 2.245) LEX - JTJ - Vol. 226 - Pág. 154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civil pública há de ser intentada estritamente nas hipóteses legalmente previstas, dentre as quais não se divisa a de argüição de inconstitucionalidade de lei municipal, para a qual a CF/88 prevê a via própria que é a ação direta de inconstitucionalidade.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2026-09-10T23:38:02.307Z</dcterms:created>
  <dcterms:modified xsi:type="dcterms:W3CDTF">2026-09-10T23:38:02.307Z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