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MINISTÉRIO PÚBLICO</w:t>
      </w:r>
    </w:p>
    <w:p>
      <w:r>
        <w:rPr>
          <w:i/>
          <w:iCs/>
          <w:color w:val="666666"/>
        </w:rPr>
        <w:t xml:space="preserve">PROTEÇÃO DO INTERESSE DIFUSO</w:t>
      </w:r>
    </w:p>
    <w:p/>
    <w:p>
      <w:r>
        <w:rPr>
          <w:b/>
          <w:bCs/>
        </w:rPr>
        <w:t xml:space="preserve">Recurso: </w:t>
      </w:r>
      <w:r>
        <w:t xml:space="preserve">Recurso Especial 208.586/</w:t>
      </w:r>
    </w:p>
    <w:p>
      <w:r>
        <w:rPr>
          <w:b/>
          <w:bCs/>
        </w:rPr>
        <w:t xml:space="preserve">Julgado em: </w:t>
      </w:r>
      <w:r>
        <w:t xml:space="preserve">21/06/1999</w:t>
      </w:r>
    </w:p>
    <w:p/>
    <w:p>
      <w:r>
        <w:t xml:space="preserve">AÇÃO CIVIL PÚBLICA — MEIO IMPRÓPRIO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 ação civil pública é inadequada para o reconhecimento da inconstitucionalidade da lei, sob pena de substituir a ação direta de inconstitucionalidade, conforme decidiu o Superior Tribunal de Justiça, no Recurso Especial n. 208.586/MG, julgado em 22.06.99, com acórdão relatado pelo Ministro José Delgado. - Quanto a esse aspecto, assim, há ausência de interesse de agir. - Ante o exposto, o voto nega provimento ao recurso. Ac. de 26-10-1999 (Voto nº 2.245) LEX - JTJ - Vol. 226 - Pág. 154 EMENTÁRIO FORENSE. Dezembro, 2001. Ano LIII. Nº 637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ação civil pública há de ser intentada estritamente nas hipóteses legalmente previstas, dentre as quais não se divisa a de argüição de inconstitucionalidade de lei municipal, para a qual a CF/88 prevê a via própria que é a ação direta de inconstitucionalidade. (Ementa do EMENTÁRIO FORENSE)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LEX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2026-06-17T16:59:46.537Z</dcterms:created>
  <dcterms:modified xsi:type="dcterms:W3CDTF">2026-06-17T16:59:46.537Z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