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PROTEÇÃO DO INTERESSE DIFUSO</w:t>
      </w:r>
    </w:p>
    <w:p/>
    <w:p>
      <w:r>
        <w:rPr>
          <w:b/>
          <w:bCs/>
        </w:rPr>
        <w:t xml:space="preserve">Recurso: </w:t>
      </w:r>
      <w:r>
        <w:t xml:space="preserve">Recurso Especial 208.586/</w:t>
      </w:r>
    </w:p>
    <w:p>
      <w:r>
        <w:rPr>
          <w:b/>
          <w:bCs/>
        </w:rPr>
        <w:t xml:space="preserve">Julgado em: </w:t>
      </w:r>
      <w:r>
        <w:t xml:space="preserve">21/06/1999</w:t>
      </w:r>
    </w:p>
    <w:p/>
    <w:p>
      <w:r>
        <w:t xml:space="preserve">AÇÃO CIVIL PÚBLICA — MEIO IMPRÓPRIO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civil pública é inadequada para o reconhecimento da inconstitucionalidade da lei, sob pena de substituir a ação direta de inconstitucionalidade, conforme decidiu o Superior Tribunal de Justiça, no Recurso Especial n. 208.586/MG, julgado em 22.06.99, com acórdão relatado pelo Ministro José Delgado. - Quanto a esse aspecto, assim, há ausência de interesse de agir. - Ante o exposto, o voto nega provimento ao recurso. Ac. de 26-10-1999 (Voto nº 2.245) LEX - JTJ - Vol. 226 - Pág. 154 EMENTÁRIO FORENSE. Dezembro, 2001. Ano LIII. Nº 637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civil pública há de ser intentada estritamente nas hipóteses legalmente previstas, dentre as quais não se divisa a de argüição de inconstitucionalidade de lei municipal, para a qual a CF/88 prevê a via própria que é a ação direta de inconstitucionalidade.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2026-10-26T02:45:29.501Z</dcterms:created>
  <dcterms:modified xsi:type="dcterms:W3CDTF">2026-10-26T02:45:29.501Z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