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PROVA</w:t>
      </w:r>
    </w:p>
    <w:p>
      <w:r>
        <w:rPr>
          <w:i/>
          <w:iCs/>
          <w:color w:val="666666"/>
        </w:rPr>
        <w:t xml:space="preserve">DECLARAÇÃO PRESTADA POR TESTEMUNHA</w:t>
      </w:r>
    </w:p>
    <w:p/>
    <w:p/>
    <w:p>
      <w:r>
        <w:t xml:space="preserve">07. LIVRO III — DOS FATOS JURÍDICOS
      TÍTULO V - Da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Da Prova Art. 212. Salvo o negócio a que se impõe forma especial, o fato jurídico pode ser provado mediante: I - confissão; II - documento; III - testemunha; IV - presunção; V - perícia. Art. 213. Não tem eficácia a confissão se provém de quem não é capaz de dispor do direito a que se referem os fatos confessados. Parágrafo único. Se feita a confissão por um representante, somente é eficaz nos limites em que este pode vincular o representado. Art. 214. A confissão é irrevogável, mas pode ser anulada se decorreu de erro de fato ou de coação. Art. 215. A escritura pública, lavrada em notas de tabelião, é documento dotado de fé pública, fazendo prova plena. § 1o Salvo quando exigidos por lei outros requisitos, a escritura pública deve conter: I - data e local de sua realização; II - reconhecimento da identidade e capacidade das partes e de quantos hajam comparecido ao ato, por si, como representantes, intervenientes ou testemunhas; III - nome, nacionalidade, estado civil, profissão, domicílio e residência das partes e demais comparecentes, com a indicação, quando necessário, do regime de bens do casamento, nome do outro cônjuge e filiação; IV - manifestação clara da vontade das partes e dos intervenientes; V - referência ao cumprimento das exigências legais e fiscais inerentes à legitimidade do ato; VI - declaração de ter sido lida na presença das partes e demais comparecentes, ou de que todos a leram; VII - assinatura das partes e dos demais comparecentes, bem como a do tabelião ou seu substituto legal, encerrando o ato. § 2o Se algum comparecente não puder ou não souber escrever, outra pessoa capaz assinará por ele, a seu rogo. § 3o A escritura será redigida na língua nacional. § 4o Se qualquer dos compar ecentes não souber a língua nacional e o tabelião não entender o idioma em que se expressa, deverá comparecer tradutor público para servir de intérprete, ou, não o havendo na localidade, outra pessoa capaz que, a juízo do tabelião, tenha idoneidade e conhecimento bastantes. § 5o Se algum dos comparecentes não for conhecido do tabelião, nem puder identificar-se por documento, deverão participar do ato pelo menos duas testemunhas que o conheçam e atestem sua identidade. Art. 216. Farão a mesma prova que os originais as certidões textuais de qualquer peça judicial, do protocolo das audiências, ou de outro qualquer livro a cargo do escrivão, sendo extraídas por ele, ou sob a sua vigilância, e por ele subscritas, assim como os traslados de autos, quando por outro escrivão consertados. Art. 217. Terão a mesma força probante os traslados e as certidões, extraídos por tabelião ou oficial de registro, de instrumentos ou documentos lançados em suas notas. Art. 218. Os traslados e as certidões considerar-se-ão instrumentos públicos, se os originais se houverem produzido em juízo como prova de algum ato. Art. 219. As declarações constantes de documentos assinados presumem-se verdadeiras em relação aos signatários. Parágrafo único. Não tendo relação direta, porém, com as disposições principais ou com a legitimidade das partes, as declarações enunciativas não eximem os interessados em sua veracidade do ônus de prová-las. Art. 220. A anuência ou a autorização de outrem, necessária à validade de um ato, provar-se-á do mesmo modo que este, e constará, sempre que se possa, do próprio instrumento. Art. 221. O instrumento particular, feito e assinado, ou somente assinado por quem esteja na livre disposição e administração de seus bens, prova as obrigações convencionais de qualquer valor; mas os seus efeitos, bem como os da cessão, não se operam, a respeito de terceiros, antes de registrado no registro público. Parágrafo único. A prova do instrumento particular pode suprir-se pelas outras de caráter legal. Art. 222. O telegrama, quando lhe for contestada a autenticidade, faz prova mediante conferência com o original assinado. Art. 223. A cópia fotográfica de documento, conferida por tabelião de notas, valerá como prova de declaração da vontade, mas, impugnada sua autenticidade, deverá ser exibido o original. Parágrafo único. A prova não supre a ausência do título de crédito, ou do original, nos casos em que a lei ou as circunstâncias condicionarem o exercício do direito à sua exibição. Art. 224. Os documentos redigidos em língua estrangeira serão traduzidos para o português para ter efeitos legais no País. Art. 225. As reproduções fotográficas, cinematográficas, os registros fonográficos e, em geral, quaisquer outras reproduções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2026-10-26T03:24:06.359Z</dcterms:created>
  <dcterms:modified xsi:type="dcterms:W3CDTF">2026-10-26T03:24:06.359Z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