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DEPÓSITO</w:t>
      </w:r>
    </w:p>
    <w:p/>
    <w:p>
      <w:r>
        <w:rPr>
          <w:b/>
          <w:bCs/>
        </w:rPr>
        <w:t xml:space="preserve">Recurso: </w:t>
      </w:r>
      <w:r>
        <w:t xml:space="preserve">re -</w:t>
      </w:r>
    </w:p>
    <w:p/>
    <w:p>
      <w:r>
        <w:t xml:space="preserve">O V
      Dos Contratos em Geral</w:t>
      </w:r>
    </w:p>
    <w:p/>
    <w:p>
      <w:pPr>
        <w:pStyle w:val="Heading2"/>
      </w:pPr>
      <w:r>
        <w:rPr>
          <w:b/>
          <w:bCs/>
        </w:rPr>
        <w:t xml:space="preserve">Ementa</w:t>
      </w:r>
    </w:p>
    <w:p>
      <w:r>
        <w:t xml:space="preserve">12. PARTE ESPECIAL LIVRO I - DO DIREITO DAS OBRIGAÇÕES TÍTULO V - Dos Contratos em Geral Capítulo I - Disposições em Geral Capítulo II - Da Extinção do Contrato TÍTULO V Dos Contratos em Geral CAPÍTULO I Disposições Gerais Seção I Preliminares Art. 421. A liberdade de contratar será exercida em razão e nos limites da função social do contrato. Art. 422. Os contratantes são obrigados a guardar, assim na conclusão do contrato, como em sua execução, os princípios de probidade e boa-fé. Art. 423. Quando houver no contrato de adesão cláusulas ambíguas ou contraditórias, dever-se-á adotar a interpretação mais favorável ao aderente. Art. 424. Nos contratos de adesão, são nulas as cláusulas que estipulem a renúncia antecipada do aderente a direito resultante da natureza do negócio. Art. 425. É lícito às partes estipular contratos atípicos, observadas as normas gerais fixadas neste Código. Art. 426. Não pode ser objeto de contrato a herança de pessoa viva. Seção II Da Formação dos Contratos Art. 427. A proposta de contrato obriga o proponente, se o contrário não resultar dos termos dela, da natureza do negócio, ou das circunstâncias do caso. Art. 428. Deixa de ser obrigatória a proposta: I - se, feita sem prazo a pessoa presente, não foi imediatamente aceita. Considera-se também presente a pessoa que contrata por telefone ou por meio de comunicação semelhante; II - se, feita sem prazo a pessoa ausente, tiver decorrido tempo suficiente para chegar a resposta ao conhecimento do proponente; III - se, feita a pessoa ausente, não tiver sido expedida a resposta dentro do prazo dado; IV - se, antes dela, ou simultaneamente, chegar ao conhecimento da outra parte a retratação do proponente. Art. 429. A oferta ao público equivale a proposta quando encerra os requisitos essenciais ao contrato, salvo se o contrário resultar das circunstâncias ou dos usos. Parágrafo único. Pode revogar-se a oferta pela mesma via de sua divulgação, desde que ressalvada esta faculdade na oferta realizada. Art. 430. Se a aceitação, por circunstância imprevista, chegar tarde ao conhecimento do proponente, este comunicá-lo-á imediatamente ao aceitante, sob pena de responder por perdas e danos. Art. 431. A aceitação fora do prazo, com adições, restrições, ou modificações, importará nova proposta. Art. 432. Se o negócio for daqueles em que não seja costume a aceitação expressa, ou o proponente a tiver dispensado, reputar-se-á concluído o contrato, não chegando a tempo a recusa. Art. 433. Considera-se inexistente a aceitação, se antes dela ou com ela chegar ao proponente a retratação do aceitante. Art. 434. Os contratos entre ausentes tornam-se perfeitos desde que a aceitação é expedida, exceto: I - no caso do artigo antecedente; II - se o proponente se houver comprometido a esperar resposta; III - se ela não chegar no prazo convencionado. Art. 435. Reputar-se-á celebrado o contrato no lugar em que foi proposto. Seção III Da Estipulação em Favor de Terceiro Art. 436. O que estipula em favor de terceiro pode exigir o cumprimento da obrigação. Parágrafo único. Ao terceiro, em favor de quem se estipulou a obrigação, também é permitido exigi-la, ficando, todavia, sujeito às condições e normas do contrato, se a ele anuir, e o estipulante não o inovar nos termos do art. 438. Art. 437. Se ao terceiro, em favor de quem se fez o contrato, se deixar o direito de reclamar-lhe a execução, não poderá o estipulante exonerar o devedor. Art. 438. O estipulante pode reservar-se o direito de substituir o terceiro designado no contrato, independentemente da sua anuência e da do outro contratante. Parágrafo único. A substituição pode ser feita por ato entre vivos ou por disposição de última vontade. Seção IV Da Promessa de Fato de Terceiro Art. 439. Aquele que tiver prometido fato de terceiro responderá por perdas e danos, q uando este o não executar. Parágrafo único. Tal responsabilidade não existirá se o terceiro for o cônjuge do promitente, dependendo da sua anuência o ato a ser praticado, e desde que, pelo regime do casamento, a indenização, de algum modo, venha a recair sobre os seus bens. Art. 440. Nenhuma obrigação haverá para quem se comprometer por outrem, se este, depois de se ter obrigado, faltar à prestação. Seção V Dos Vícios Redibitórios Art. 441. A coisa recebida em virtude de contrato comutativo pode ser enjeitada por vícios ou defeitos ocultos, que a tornem imprópria ao uso a que é destinada, ou lhe diminuam o valor. Parágrafo único. É aplicável a disposição deste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2026-07-28T00:22:43.571Z</dcterms:created>
  <dcterms:modified xsi:type="dcterms:W3CDTF">2026-07-28T00:22:43.571Z</dcterms:modified>
</cp:coreProperties>
</file>

<file path=docProps/custom.xml><?xml version="1.0" encoding="utf-8"?>
<Properties xmlns="http://schemas.openxmlformats.org/officeDocument/2006/custom-properties" xmlns:vt="http://schemas.openxmlformats.org/officeDocument/2006/docPropsVTypes"/>
</file>