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r>
        <w:rPr>
          <w:b/>
          <w:bCs/>
        </w:rPr>
        <w:t xml:space="preserve">Recurso: </w:t>
      </w:r>
      <w:r>
        <w:t xml:space="preserve">re -</w:t>
      </w:r>
    </w:p>
    <w:p/>
    <w:p>
      <w:r>
        <w:t xml:space="preserve">28. LIVRO III — DO DIREITO DAS COISAS
      TÍTULO II - Dos Direitos Reais
      Capítulo Único - Disposições Gerais</w:t>
      </w:r>
    </w:p>
    <w:p/>
    <w:p>
      <w:pPr>
        <w:pStyle w:val="Heading2"/>
      </w:pPr>
      <w:r>
        <w:rPr>
          <w:b/>
          <w:bCs/>
        </w:rPr>
        <w:t xml:space="preserve">Ementa</w:t>
      </w:r>
    </w:p>
    <w:p>
      <w:r>
        <w:t xml:space="preserve">TÍTULO II Dos Direitos Reais CAPÍTULO ÚNICO Disposições Gerais Art. 1.225. São direitos reais: I - a propriedade; II - a superfície; III - as servidões; IV - o usufruto; V - o uso; VI - a habitação; VII - o direito do promitente comprador do imóvel; VIII - o penhor; IX - a hipoteca; X - a anticrese. XI - a concessão de uso especial para fins de moradia; (Acrescentado pela Lei 11.481 de 2007) XII - a concessão de direito real de uso. (Acrescentado pela Lei 11.481 de 2007) Art. 1.226. Os direitos reais sobre coisas móveis, quando constituídos, ou transmitidos por atos entre vivos, só se adquirem com a tradição. Art. 1.227. Os direitos reais sobre imóveis constituídos, ou transmitidos por atos entre vivos, só se adquirem com o registro no Cartório de Registro de Imóveis dos referidos títulos (arts. 1.245 a 1.247), salvo os casos expressos neste Código. TÍTULO III Da Propriedade 29. LIVRO III - DO DIREITO DAS COISAS TÍTULO III - Da Propriedade Capítulo I - Da Propriedade em Geral Capítulo II - Da Aquisição da Propriedade Imóvel Capítulo III - Da Aquisição da Propriedade Móvel Capítulo IV - Da Perda da Propriedade TÍTULO III Da Propriedade CAPÍTULO I Da Propriedade em Geral Seção I Disposições Preliminares Art. 1.228. O proprietário tem a faculdade de usar, gozar e dispor da coisa, e o direito de reavê-la do poder de quem quer que injustamente a possua ou detenha. § 1o O direito de propriedade deve ser exercido em consonância com as suas finalidades econômicas e sociais e de modo que sejam preservados, de conformidade com o estabelecido em lei especial, a flora, a fauna, as belezas naturais, o equilíbrio ecológico e o patrimônio histórico e artístico, bem como evitada a poluição do ar e das águas. § 2o São defesos os atos que não trazem ao proprietário qualquer comodidade, ou utilidade, e sejam animados pela intenção de prejudicar outrem. § 3o O proprietário pode ser privado da coisa, nos casos de desapropriação, por necessidade ou utilidade pública ou interesse social, bem como no de requisição, em caso de perigo público iminente. § 4o O proprietário também pode ser privado da coisa se o imóvel reivindicado consistir em extensa área, na posse ininterrupta e de boa-fé, por mais de cinco anos, de considerável número de pessoas, e estas nela houverem realizado, em conjunto ou separadamente, obras e serviços considerados pelo juiz de interesse social e econômico relevante. § 5o No caso do parágrafo antecedente, o juiz fixará a justa indenização devida ao proprietário; pago o preço, valerá a sentença como título para o registro do imóvel em nome dos possuidores. Art. 1.229. A propriedade do solo abrange a do espaço aéreo e subsolo correspondentes, em altura e profundidade úteis ao seu exercício, não podendo o proprietário opor-se a atividades que sejam realizadas, por terceiros, a uma altura ou profundidade tais, que não tenha ele interesse legítimo em impedi-las. Art. 1.230. A propriedade do solo não abrange as jazidas, minas e demais recursos minerais, os potenciais de energia hidráulica, os monumentos arqueológicos e outros bens referidos por leis especiais. Parágrafo único. O proprietário do solo tem o direito de explorar os recursos minerais de emprego imediato na construção civil, desde que não submetidos a transformação industrial, obedecido o disposto em lei especial. Art. 1.231. A propriedade presume-se plena e exclusiva, até prova em contrário. Art. 1.232. Os frutos e mais produtos da coisa pertencem, ainda quando separados, ao seu proprietário, salvo se, por preceito jurídico especial, couberem a outrem. Seção II Da Descoberta Art. 1.233. Quem quer que ache coisa alheia perdida há de restituí-la ao dono ou legítimo possuidor. Parágrafo único. Não o conhecendo, o descobridor fará por encontrá-lo, e, se não o encontrar, entregará a coisa achada à autoridade competente. Art. 1.234. Aquele que restituir a coisa achada, nos termos do artigo antecedente, terá direito a uma recompensa não inferior a cinco por cento do seu valor, e à indenização pelas despesas que houver feito com a conservação e transporte da coisa, se o dono não preferir abandoná-la. Parágrafo único. Na determinação do montante da recompensa, considerar-se-á o esforço desenvolvido pelo descobridor para encontrar o dono, ou o legítimo possuidor, as possibilidades que teria este de encontrar a coisa e a situação econômica de ambos. Art. 1.235. O descobridor responde pelos prejuízos causados ao proprietário ou possuidor legítimo, quando tiver procedido com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2026-09-10T22:29:27.133Z</dcterms:created>
  <dcterms:modified xsi:type="dcterms:W3CDTF">2026-09-10T22:29:27.133Z</dcterms:modified>
</cp:coreProperties>
</file>

<file path=docProps/custom.xml><?xml version="1.0" encoding="utf-8"?>
<Properties xmlns="http://schemas.openxmlformats.org/officeDocument/2006/custom-properties" xmlns:vt="http://schemas.openxmlformats.org/officeDocument/2006/docPropsVTypes"/>
</file>