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DIREITO REAL DE HABITAÇÃO</w:t>
      </w:r>
    </w:p>
    <w:p/>
    <w:p/>
    <w:p>
      <w:r>
        <w:t xml:space="preserve">44. LIVRO IV — DO DIREITO DE FAMÍLIA
      TÍTULO III - Da União Estável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Da União Estável Art. 1.723. É reconhecida como entidade familiar a união estável entre o homem e a mulher, configurada na convivência pública, contínua e duradoura e estabelecida com o objetivo de constituição de família. § 1o A união estável não se constituirá se ocorrerem os impedimentos do art. 1.521; não se aplicando a incidência do inciso VI no caso de a pessoa casada se achar separada de fato ou judicialmente. § 2o As causas suspensivas do art. 1.523 não impedirão a caracterização da união estável. Art. 1.724. As relações pessoais entre os companheiros obedecerão aos deveres de lealdade, respeito e assistência, e de guarda, sustento e educação dos filhos. Art. 1.725. Na união estável, salvo contrato escrito entre os companheiros, aplica-se às relações patrimoniais, no que couber, o regime da comunhão parcial de bens. Art. 1.726. A união estável poderá converter-se em casamento, mediante pedido dos companheiros ao juiz e assento no Registro Civil. Art. 1.727. As relações não eventuais entre o homem e a mulher, impedidos de casar, constituem concubinato. TÍTULO IV Da Tutela e da Curatela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2026-07-28T01:53:21.784Z</dcterms:created>
  <dcterms:modified xsi:type="dcterms:W3CDTF">2026-07-28T01:53:21.784Z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