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DIREITO REAL DE HABITAÇÃO</w:t>
      </w:r>
    </w:p>
    <w:p/>
    <w:p/>
    <w:p>
      <w:r>
        <w:t xml:space="preserve">44. LIVRO IV — DO DIREITO DE FAMÍLIA
      TÍTULO III - Da União Estável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União Estável Art. 1.723. É reconhecida como entidade familiar a união estável entre o homem e a mulher, configurada na convivência pública, contínua e duradoura e estabelecida com o objetivo de constituição de família. § 1o A união estável não se constituirá se ocorrerem os impedimentos do art. 1.521; não se aplicando a incidência do inciso VI no caso de a pessoa casada se achar separada de fato ou judicialmente. § 2o As causas suspensivas do art. 1.523 não impedirão a caracterização da união estável. Art. 1.724. As relações pessoais entre os companheiros obedecerão aos deveres de lealdade, respeito e assistência, e de guarda, sustento e educação dos filhos. Art. 1.725. Na união estável, salvo contrato escrito entre os companheiros, aplica-se às relações patrimoniais, no que couber, o regime da comunhão parcial de bens. Art. 1.726. A união estável poderá converter-se em casamento, mediante pedido dos companheiros ao juiz e assento no Registro Civil. Art. 1.727. As relações não eventuais entre o homem e a mulher, impedidos de casar, constituem concubinato. TÍTULO IV Da Tutela e da Curatela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2026-10-26T05:00:52.136Z</dcterms:created>
  <dcterms:modified xsi:type="dcterms:W3CDTF">2026-10-26T05:00:52.136Z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