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02.06.01 PARTE SEGUNDA — Do Comércio Marítimo
      TÍTULO VI - Dos Fretamentos
      Capítulo I - Da Natureza e Forma do Contrato de Fretamento e das Cartas-Partidas</w:t>
      </w:r>
    </w:p>
    <w:p/>
    <w:p>
      <w:pPr>
        <w:pStyle w:val="Heading2"/>
      </w:pPr>
      <w:r>
        <w:rPr>
          <w:b/>
          <w:bCs/>
        </w:rPr>
        <w:t xml:space="preserve">Ementa</w:t>
      </w:r>
    </w:p>
    <w:p>
      <w:r>
        <w:t xml:space="preserve">TÍTULO VI - DOS FRETAMENTOS (arts. 566 a 632) CAPÍTULO I - DA NATUREZA E FORMA DO CONTRATO DE FRETAMENTO E DAS CARTAS-PARTIDAS (arts. 566 a 574) Art. 566. O contrato de fretamento de qualquer embarcação, quer seja na sua totalidade ou em parte, para uma ou mais viagens, quer seja à carga, colheita ou prancha, o que tem lugar quando o capitão recebe carga de quantos se apresentam, deve provar-se por escrito. No primeiro caso o instrumento, que se chama"carta-partida" ou"carta de fretamento", deve ser assinado pelo fretador e afretador, e por quaisquer outras pessoas que intervenham no contrato, do qual se dará a cada uma das partes um exemplar; e no segundo, o instrumento chama- se"conhecimento", e basta ser assinado pelo capitão e o carregador. Entende-se por fretador o que dá, e por afretador o que toma a embarcação a frete. Art. 567. A"carta-partida" deve enunciar: 1º. - o nome do capitão e o do navio, o porte deste, a nação a que pertence, e o porto do seu registro (art. 460); 2º. - o nome do fretador e o do afretador, e seus respectivos domicílios; se o fretamento for por conta de terceiro deverá também declarar-se o seu nome e domicílio; 3º. - a designação da viagem, se é redonda ou ao mês, para uma ou mais viagens, e se estas são de ida e volta ou somente para ida ou volta, e finalmente se a embarcação se freta no todo ou em parte; 4º. - o gênero e quantidade da carga que o navio deve receber, designada por toneladas, números, peso ou volume, e por conta de quem a mesma será conduzida para bordo, e deste para terra; 5º. - o tempo da carga e descarga, portos de escala quando a haja, as estadias e sobreestadias ou demoras, e a forma por que estas se hão de vencer e contar; 6º. - o preço do frete, quanto há de pagar-se de primagem ou gratificação, e de estadias e sobreestadias, e a forma, tempo e lugar do pagament o; 7º. - se há lugares reservados no navio, além dos necessários para uso e acomodação do pessoal e material do serviço da embarcação; 8º. - todas as mais estipulações em que as partes se acordarem. Art. 568. As cartas de fretamento devem ser lançadas no Registro do Comércio, dentro de 15 (quinze) dias a contar da saída da embarcação nos lugares da residência dos Tribunais do Comércio, e nos outros, dentro do prazo que estes designarem (art. 31). Art. 569. A carta de fretamento valerá como instrumento público tendo sido feita por intervenção e com assinatura de algum corretor de navios, ou na falta de corretor por tabelião que porte por fé ter sido passada na sua presença e de duas testemunhas com ele assinadas. A carta de fretamento que não for autenticada por alguma das duas referidas formas, obrigará as próprias partes mas não dará direito contra terceiro. As cartas de fretamento assinadas pelo capitão valem ainda que este tenha excedido as faculdades das suas instruções; salvo o direito dos donos do navio por perdas e danos contra ele pelos abusos que cometer. Art. 570. Fretando-se o navio por inteiro, entende-se que fica somente reservada a câmara do capitão, os agasalhados da equipagem, e as acomodações necessárias para o material da embarcação. Art. 571. Dissolve-se o contrato de fretamento, sem que haja lugar a exigência alguma de parte a parte: 1º. - Se a saída da embarcação for impelida, antes da partida, por força maior sem limitação de tempo. 2º. - Sobrevindo, antes de principiada a viagem, declaração de guerra, ou interdito de comércio com o país para onde a embarcação é destinada, em conseqüência do qual o navio e a carga conjuntamente não sejam consideradas como propriedade neutra. 3º. - Proibição de exportação de todas ou da maior parte das fazendas compreendidas na carta de fretamento do lugar donde a emb arcação deva partir, ou de importação no de seu destino. 4º. - Declaração de bloqueio do porto da carga ou do seu destino, antes da partida do navio. Em todos os referidos casos as despesas da descarga serão por conta do afretador ou carregadores. Art. 572. Se o interdito de comércio com o porto do destino do navio acontece durante a sua viagem, e se por este motivo o navio é obrigado a voltar com a carga, deve-se somente o frete pela ida, ainda que o navio tivesse sido fretado por ida e volta. Art. 573. Achando-se um navio fretado em lastro para outro porto onde deva carregar, dissolve-se o contrato, se chegando a esse porto sobrevier algum dos impedimentos designados nos arts. 571 e 572, sem que possa ter lugar indenização alguma por nenhuma das partes, quer o impedimento venha só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2026-07-28T00:37:56.679Z</dcterms:created>
  <dcterms:modified xsi:type="dcterms:W3CDTF">2026-07-28T00:37:56.679Z</dcterms:modified>
</cp:coreProperties>
</file>

<file path=docProps/custom.xml><?xml version="1.0" encoding="utf-8"?>
<Properties xmlns="http://schemas.openxmlformats.org/officeDocument/2006/custom-properties" xmlns:vt="http://schemas.openxmlformats.org/officeDocument/2006/docPropsVTypes"/>
</file>