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SUCESSORA TESTAMENTÁRIA DE SÓCIO</w:t>
      </w:r>
    </w:p>
    <w:p/>
    <w:p/>
    <w:p>
      <w:r>
        <w:t xml:space="preserve">REGULAMENTO DA PREVIDÊNCIA SOCIAL — DECRETO 3.048 DE 06-05-1999 - DISPOSITIVOS - ALTERA</w:t>
      </w:r>
    </w:p>
    <w:p/>
    <w:p>
      <w:pPr>
        <w:pStyle w:val="Heading2"/>
      </w:pPr>
      <w:r>
        <w:rPr>
          <w:b/>
          <w:bCs/>
        </w:rPr>
        <w:t xml:space="preserve">Ementa</w:t>
      </w:r>
    </w:p>
    <w:p>
      <w:r>
        <w:t xml:space="preserve">DECRETO Nº 4.079, DE 09 DE JANEIRO DE 2002 Altera dispositivos do Regulamento da Previdência Social, aprovado pelo Decreto nº 3.048, de 6 de maio de 1999. O PRESIDENTE DA REPÚBLICA, no uso da atribuição que lhe confere o art. 84, inciso IV, da Constituição Federal, DECRETA: Art. 1º O Regulamento da Previdência Social, aprovado pelo Decreto nº 3.048, de 6 de maio de 1999, passa a vigorar com as seguintes alterações: "Art. 9º ............................................................... ............................................................... V - ............................................................... ............................................................... c) o ministro de confissão religiosa e o membro de instituto de vida consagrada, de congregação ou de ordem religiosa; ..............................................................." (NR) "Art. 19. A anotação na Carteira Profissional ou na Carteira de Trabalho e Previdência Social e, a partir de 1º de julho de 1994, os dados constantes do Cadastro Nacional de Informações Sociais - CNIS valem para todos os efeitos como prova de filiação à Previdência Social, relação de emprego, tempo de serviço ou de contribuição e salários-de-contribuição e, quando for o caso, relação de emprego, podendo, em caso de dúvida, ser exigida pelo Instituto Nacional do Seguro Social a apresentação dos documentos que serviram de base à anotação. § 1º O INSS definirá os critérios para apuração das informações constantes da Guia de Recolhimento do Fundo de Garantia do Tempo de Serviço e Informações à Previdência Social -GFIP que ainda não tiverem sido processadas. § 2º Não constando do CNIS informações sobre contribuições ou remunerações, o vínculo não será considerado, facultada a providência prevista no § 3º. § 3º O segurado poderá solicitar, a qualquer momento, a inclusão, exclusão ou retificação das informações const antes do CNIS, com a apresentação de documentos comprobatórios dos dados divergentes, conforme critérios definidos pelo INSS." (NR) "Art. 22. A inscrição do dependente do segurado será promovida quando do requerimento do benefício a que tiver direito, mediante a apresentação dos seguintes documentos: ............................................................... § 10. No ato de inscrição, o dependente menor de vinte e um anos deverá apresentar declaração de não emancipação. ............................................................... § 13. No caso de equiparado a filho, a inscrição será feita mediante a comprovação da equiparação por documento escrito do segurado falecido manifestando essa intenção, da dependência econômica e da declaração de que não tenha sido emancipado." (NR) Art. 31. ............................................................... Parágrafo único. O INSS terá até cento e oitenta dias, contados da data do pedido, para fornecer ao segurado as informações constantes do CNIS sobre contribuições e remunerações utilizadas no cálculo do salário-de-benefício." (NR) "Art. 61. Observado o disposto no art. 19, são contados como tempo de contribuição, para efeito do disposto nos §§ 1º e 2º do art. 56: ..............................................................." (NR) "Art. 62. A prova de tempo de serviço, considerado tempo de contribuição na forma do art. 60, observado o disposto no art. 19 e, no que couber, as peculiaridades do segurado de que tratam as alíneas "j" e "l" do inciso V do caput do art. 9º e do art. 11, é feita mediante documentos que comprovem o exercício de atividade nos períodos a serem contados, devendo esses documentos ser contemporâneos dos fatos a comprovar e mencionar as datas de início e término e, quando se tratar de trabalhador avulso, a duração do trabalho e a condição em que foi prestado." (NR) "Art. 64. ............................................................... .... ........................................................... § 2º O segurado deverá comprovar a efetiva exposição aos agentes nocivos químicos, físicos, biológicos ou associação de agentes prejudiciais à saúde ou à integridade física, pelo período equivalente ao exigido para a concessão do benefício." (NR) "Art. 163. O segurado e o dependente, após dezesseis anos de idade, poderão firmar recibo de benefício, independentemente da presença dos pais ou do tutor." (NR) "Art. 166. Os benefícios poderão ser pagos mediante depósito em conta corrente, exceto os pagamentos a procurador." (NR) Art. 2º Este Decreto entra em vigor na data de sua publicaçã</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2026-06-17T16:59:23.973Z</dcterms:created>
  <dcterms:modified xsi:type="dcterms:W3CDTF">2026-06-17T16:59:23.973Z</dcterms:modified>
</cp:coreProperties>
</file>

<file path=docProps/custom.xml><?xml version="1.0" encoding="utf-8"?>
<Properties xmlns="http://schemas.openxmlformats.org/officeDocument/2006/custom-properties" xmlns:vt="http://schemas.openxmlformats.org/officeDocument/2006/docPropsVTypes"/>
</file>