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TRANSPORTE AÉREO DE PASSAGEIRO</w:t>
      </w:r>
    </w:p>
    <w:p/>
    <w:p/>
    <w:p>
      <w:r>
        <w:t xml:space="preserve">02.06.03 PARTE SEGUNDA — Do Comércio Marítimo
      TÍTULO VI - Dos Fretamentos
      Capítulo III - Dos Direitos e Obrigações do Fretador e Afretador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CAPÍTULO III - DOS DIREITOS E OBRIGAÇÕES DO FRETADOR E AFRETADOR (arts. 590 a 628) Art. 590. O fretador é obrigado a ter o navio prestes para receber a carga, e o afretador a efetuá-la no tempo marcado no contrato. Art. 591. Não se tendo determinado na carta de fretamento o tempo em que deve começar a carregar-se, entende-se que principia a correr desde o dia em que o capitão declarar que está pronto para receber a carga; se o tempo que deve durar a carga e a descarga não estiver fixado, ou quanto se há de pagar de primagem e estadias e sobreestadias, e o tempo e modo do pagamento, será tudo regulado pelo uso do porto onde uma ou outra deva efetuar-se. Art. 592. Vencido o prazo, e o das estadias e sobreestadias que se tiverem ajustado, e, na falta de ajuste, as do uso no porto da carga, sem que o afretador tenha carregado efeitos alguns, terá o capitão a escolha, ou de resilir do contrato e exigir do afretador metade do frete ajustado e primagem com estadias e sobreestadias, ou de empreender a viagem sem carga, e finda ela exigir dele o frete por inteiro e primagem, com as avarias que forem devidas, estadias e sobreestadias. Art. 593. Quando o afretador carrega só parte da carga no tempo aprazado, o capitão, vencido o tempo das estadias e sobreestadias, tem direito, ou de proceder a descarga por conta do mesmo afretador e pedir meio frete, ou de empreender a viagem com a parte da carga que tiver a bordo para haver o frete por inteiro no porto do seu destino, com as mais despesas declaradas no artigo antecedente. Art. 594. Renunciando o afretador ao contrato antes de começarem a correr os dias suplementares da carga, será obrigado a pagar metade do frete e primagem. Art. 595. Sendo o navio fretado por inteiro, o afretador pode obrigar o fretador a que faça sair o navio logo que tiver metido a bordo carga suficiente para pagamento do frete e primagem, estadias e sobreestadias, ou prestado fiança ao pagamento. O capitão neste caso não pode tomar carga de terceiro sem consentimento por escrito do afretador, nem recusar-se à saída; salvo por falta de prontificação do navio, que, segundo as cláusulas do fretamento, não possa ser imputável ao fretador. Art. 596. Tendo o fretador direito de fazer sair o navio sem carga ou só com parte dela (arts. 592 e 593), poderá, para segurança do frete e de outras indenizações a que haja lugar, completar a carga por outros carregadores, independente do consentimento do afretador; mas o benefício do novo frete pertencerá a este. Art. 597. Se o fretador houver declarado na carta-partida maior capacidade daquela que o navio na realidade tiver, não excedendo da décima parte, o afretador terá opção para anular o contrato, ou exigir correspondente abatimento no frete, com indenização de perdas e danos; salvo se a declaração estiver conforme à lotação do navio. Art. 598. O fretador pode fazer descarregar à custa do afretador os efeitos que este introduzir no navio além da carga ajustada na carta de fretamento; salvo prestando-se aquele a pagar o frete correspondente, se o navio os puder receber. Art. 599. Os carregadores ou afretadores respondem pelos danos que resultarem, se, sem ciência e consentimento do capitão, introduzirem no navio fazendas, cuja saída ou entrada for proibida, e de qualquer outro fato ilícito que praticarem ao tempo da carga ou descarga; e, ainda que as fazendas sejam confiscadas, serão obrigados a pagar o frete e primagem por inteiro, e avaria grossa. Art. 600. Provando-se que o capitão consentiu na introdução das fazendas proibidas, ou que, chegando a seu conhecimento em tempo, as não fez descarregar, ou sendo informado depois da viagem começada as não denunciar no ato da primeira visita da Alfândega que receber a bordo no porto do seu destino, ficará solidariamente obrigado para com todos os interessados por perdas e danos que resultarem ao navio ou à carga, e sem ação para haver o frete, nem indenização alguma do carregador, ainda que esta se tenha estipulado. Art. 601. Estando o navio a frete de carga geral, não pode o capitão, depois que tiver recebido alguma parte da carga, recusar-se a receber a mais que se lhe oferecer por frete igual, não achando outro mais vantajoso; pena de poder ser compelido pelos carregadores dos efeitos recebidos a que se faça à vela com o primeiro vento favorável, e de pagar as perdas e danos que da demora resultarem. Art. 602. Se o capitão, quando tomar frete à colheita ou à prancha, fixar o tempo durante o qual a embarcação estará à car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2026-07-28T06:48:32.624Z</dcterms:created>
  <dcterms:modified xsi:type="dcterms:W3CDTF">2026-07-28T06:48:32.624Z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