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>
      <w:r>
        <w:rPr>
          <w:b/>
          <w:bCs/>
        </w:rPr>
        <w:t xml:space="preserve">Recurso: </w:t>
      </w:r>
      <w:r>
        <w:t xml:space="preserve">REsp 66.930-8-</w:t>
      </w:r>
    </w:p>
    <w:p/>
    <w:p>
      <w:r>
        <w:t xml:space="preserve">ENDOSSO — PROPRIETÁRIO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 violado o disposto no Código de Processo Civil, artigo 133, combinado com o artigo 35 do Código Civil, em virtude de o processo haver tido curso em comarca diversa daquela de seu domicílio, embora haja argüido a incompetência absoluta. Não lhe assiste razão. A hipótese é de competência territorial que, salvo exceções, ausentes no caso em exame, é relativa. Ademais, salientou o acórdão que uma das rés tinha domicílio no Rio de Janeiro. Incide o disposto no § 4º do artigo 94 do C.P.C. - Pretende, mais, que contrariado o artigo 70 do C.P.C., pois, vencida na presente, teria direito de regresso contra a empresa que fizera contrato com o autor. O acórdão bem decidiu, rejeitando o pedido de litisdenunciação, uma vez que não se evidenciava houvesse o pretenso direito de regresso. Ou a recorrente é depositária, e responde por isso, ou não é, e a ação de depósito será improcedente. Se for depositária e o banco tiver direito a exigir a entrega da coisa - o que diz com o mérito da presente ação - obviamente não haverá fundamento para regresso, em relação a quem deu as coisas em depósito. - Menciona-se, ainda, comportar o caso nomeação à autoria. O acórdão afirmou que não seria sequer de se examinar o requerimento, por não ter sido reiterado no recurso. Essa razão de decidir não foi enfrentada no especial. Aliás, também não o foi a outra, consistente em que a substituição da parte ré dependeria da aceitação do nomeado, o que não se verificara. - Teria sido, ainda, viol ada a lei, ao se rejeitar a alegação de decadência. Admitindo a aplicação do disposto no artigo 177 do Código Civil, considerando revogado o parágrafo único do artigo 11 do Decreto 1.102/02, contrariara a norma do artigo 4º da Lei de Introdução. Com a devida vênia, não é isso que se lê no julgado recorrido. Transcreve-se o trecho pertinente: "Acertadamente a lei aduz ao prazo prescricional de três meses (art. 11, § 1º , alínea 2ª , Dec. 1.102/03). Com efeito, onde há um dever jurídico preexistente, como por exemplo o de restituir a coisa depositada, não há de se falar em decadência, mas de prescrição. Só há decadência onde o direito é potestativo, isto é, nasce da manifestação volitiva de uma das partes da relação jurídica material, capaz de influir na esfera jurídica de outra. Por isso se diz que o termo inicial da decadência se confunde com a gênese do direito." - Outra desatenção à lei teria ocorrido, ao se reconhecer ao autor, "na condição de credor caucionário, os mesmos direitos de cessionário ao qual se transmitem e no qual se investem os direitos substanciais contidos nos títulos de crédito". Vulnerado, afirma-se, o contido nos artigos 267, VI e 901 a 904 do C.P.C. O autor só se legitimaria para a ação de depósito, caso houvesse recebido os conhecimentos de depósito e warrants em penhor mercantil, ou fosse o proprietário da coisa depositada. Penhor não haveria, que esse só se perfaz com a efetiva tradição da coisa. - Mais uma vez sem razão a recorrente, malgrado o brilho e zelo com que elaborado o recurso. Induvidoso que recebeu ela as mercadorias em depósito, com as responsabilidades daí decorrentes. Sendo depositária, haverá de entregá-las quando isso for solicitado. A exigência da entrega caberia ao depositante, com a exibição do conhecimento de depósito e warrant. Ocorre que esses títulos foram endossados. Ora, presta-se o conhecimento de depósito a evidenciar quem o proprietário da mercadoria. Com o endo sso, a propriedade, em princípio, se transmite. O endosso do warrant significa a constituição de penhor sobre os bens. Aquele que detém os dois títulos terá, como regra, a completa disponibilidade das coisas depositadas. - Sustenta-se, com invocação de julgado do Supremo Tribunal Federal, que, se os títulos foram apenas caucionados, não haverá, com o endosso, transmissão da propriedade dos bens. Ocorre que essa é questão que apenas se coloca nas relações entre endossante e endossatário. O depositário das mercadorias a ela é estranho. Incumbe-lhe proceder à entrega a quem se apresente como legítimo possuidor dos títulos. - Não há, de outra parte, fundamento algum para a alegação de que o penhor só se concretiza com a efetiva tradição da coisa. Em primeiro lugar, isso jamais se aplicaria ao warrant, que tem como finalidade ensejar o penhor das mercadorias depositadas, por meio do endosso. Em segundo, houve o endosso do conhecimento de depósito, o que transmite a disponibilidade dos bens, não se cuidando aqui de excussão de 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 empresa de armazéns gerais proceder à entrega das mercadorias a quem, como legítimo possuidor, apresente aqueles títulos. O conhecimento de depósito presta-se a evidenciar, em princípio, quem o proprietário da mercadoria, propriedade que se transmite com o endosso. Se isso não ocorreu, em virtude da natureza das relações pessoais entre endossante e endossatário, é matéria estranha ao depositário.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2026-10-26T03:47:50.922Z</dcterms:created>
  <dcterms:modified xsi:type="dcterms:W3CDTF">2026-10-26T03:47:50.922Z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