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TRANSPORTE DE MERCADORIA</w:t>
      </w:r>
    </w:p>
    <w:p>
      <w:r>
        <w:rPr>
          <w:i/>
          <w:iCs/>
          <w:color w:val="666666"/>
        </w:rPr>
        <w:t xml:space="preserve">DESAPARECIMENTO DA COISA</w:t>
      </w:r>
    </w:p>
    <w:p/>
    <w:p>
      <w:r>
        <w:rPr>
          <w:b/>
          <w:bCs/>
        </w:rPr>
        <w:t xml:space="preserve">Recurso: </w:t>
      </w:r>
      <w:r>
        <w:t xml:space="preserve">REsp 157.561/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ATRASO DE VÔO — INDENIZAÇÃO AO PASSAGEIRO - QUANDO NÃO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recorrentes ajuizaram ação ordinária alegando que compraram da recorrida bilhetes para o trajeto São Paulo-Buenos Aires-São Paulo; em Buenos Aires compareceram ao balcão da companhia embarcando no vôo RG 1055, que decolou por volta das 2h da manhã, sendo encaminhadas para o aeroporto internacional na cidade do Rio de Janeiro, ao contrário do previsto retorno para o aeroporto de Guarulhos; permaneceram na aeronave cerca de 1h e mais 2h no aeroporto até o embarque para São Paulo, sem que tenham recebido alimentação, perfazendo um atraso superior a 5h; no desembarque final as bagagens não foram localizadas, sendo devolvidas após quatro dias, o que gerou momentos de aflição e sofrimento que justificam o pagamento de indenização de 4.150 DES por atraso de vôo e 1.000 DES por extravio de bagagem. - A sentença condenou a ré a pagar a cada autora a importância equivalente a 4.150 DES, mais juros a contar da citação. O Primeiro Tribunal de Alçada Civil de São Paulo proveu ambos os recursos; o das autoras para condenar a ré a indenizá-las pelo atraso das bagagens e o da ré para excluir a indenização pelo atraso de vôo. - Para o Acórdão recorrido os «protocolos 1 e 2, de Montreal, só entraram em vigor no País em 15/02/96 por força da expedição do Decreto Executivo 2.860/98, e o 4/98 em virtude da expedição do Decreto Executivo 2.861, da mesma data. Este Relator já sustentou bastar, para vigorar no direito interno, o Decreto do Legislativo, no caso o 22/79. Mudou, contudo, de opinião dado que a matéria é controvertida na doutrina, e é da tradição do nosso direito a expedição de decreto do Sr. Presidente da República para que um tratado internacional se torne direito po sto no território nacional». - Com esse raciocínio, concluiu que o vôo, realizado em 12/04/95, não estava alcançado pelos respectivos protocolos, mas, sim, pela Convenção de Varsóvia, modificada pelo Protocolo de Haia, tal como promulgada pelo Decreto Executivo 56.463, de 15/06/65, expressado o valor das indenizações em francos Poincaré. - Por outro lado, considerou, também, que sendo o vôo fretado, «com horários em aberto (cf. fls.) e, pois, reguláveis pela afretadora, não se pode falar em atraso de vôo. Competia à empresa aérea cumprir as determinações de sua contratante, pelo que só se poderia falar em atraso em havendo violação do contrato de afretamento, do que não se cogita. O mesmo se pode dizer do itinerário, com ou sem escalas. Em assim sendo, está excluída a indenização por atraso no tocante a passageiros». - Todavia, para o Acórdão recorrido extraviar ou atrasar a entrega das bagagens gera a indenização prevista na Convenção de Varsóvia, art. 22, com o que deve ser imposta a indenização de 125 francos Poincaré por quilo, considerando que foi pequeno o atraso, apenas quatro dias, apurado em liquidação de sentença. Os embargos de declaração foram rejeitados. - O especial apoia-se no argumento de não haver exclusão do vôo tipo «Charter» da disciplina da Convenção de Varsóvia, em caso de atraso de vôo, pedindo o restabelecimento da indenização fixada na sentença. - Preliminarmente, destaco que, de fato, merece admitido o especial, não sendo relevante o fato de não constar da petição recursal a precisa indicação da letra «a» ou da letra «c», sendo suficiente que esteja arrimada em fundamentação suficiente sobre a disciplina jurídica examinada e interpretada pelo Acórdão recorrido. - Anoto em primeiro lugar que o Acórdão recorrido está de acordo com a jurisprudência desta Corte sobre a vigência das convenções internacionais no Brasil. De fato, entre nós, «no sistema adotado para o acolhimento e vig ência dos tratados, regulado nos arts. 49, I, e 84, VIII, da CF, a aprovação do Congresso Nacional, no caso através de decreto legislativo, é apenas uma fase de todo o processo que se encerrará com a promulgação pelo Presidente da República mediante decreto publicado no Diário Oficial da União» (REsp 157.561/SP, da minha relatoria, DJ de 08/03/99). - Os Protocolos 1, 2 e 4 de Montreal, portanto, não alcançam o caso sob julgamento, tal e qual afirmou o Acórdão recorrido. - A indenização por atraso de vôo internacional está prevista no art. 19 da Convenção de Varsóvia, com a redação que se segue: «Responde o transportador pelo dano proveniente do atraso no transporte aéreo de viajantes, bagagens ou mercadorias». Como não há dispositivo específico sobre o valor indenizatório, incide a regra geral do art. 22.1, que na sua redação original estabelecia: «No transpor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vôo tipo «charter», constando do bilhete de passagem horários em aberto, não há espaço para o reclamo sobre o atraso de vôo. O mesmo se diga quanto ao itinerário, não havendo como precisar que o vôo teria sido contratado sem escala.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2026-10-26T03:20:38.530Z</dcterms:created>
  <dcterms:modified xsi:type="dcterms:W3CDTF">2026-10-26T03:20:38.530Z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