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AÉREO DE PASSAGEIRO</w:t>
      </w:r>
    </w:p>
    <w:p/>
    <w:p/>
    <w:p>
      <w:r>
        <w:t xml:space="preserve">02.10 PARTE SEGUNDA — Do Comércio Marítimo
      TÍTULO X - Das Arribadas Forçadas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X - DAS ARRIBADAS FORÇADAS (arts. 740 a 748) Art. 740. Quando um navio entra por necessidade em algum porto ou lugar distinto dos determinados na viagem a que se propusera, diz-se que fez arribada forçada (art.510). Art. 741. São causas justas para arribada forçada: 1º. - falta de víveres ou aguada; 2º. - qualquer acidente acontecido à equipagem, carga ou navio, que impossibilite este de continuar a navegar; 3º. - temor fundado de inimigo ou pirata. Art. 742. Todavia, não será justificada a arribada: 1º. - se a falta de víveres ou de água proceder de não haver- se feito a provisão necessária segundo o costume e uso da navegação, ou de haver-se perdido e estragado por má arrumação ou descuido, ou porque o capitão vendesse alguma parte dos mesmos víveres ou águada; 2º. - nascendo a inavegabilidade do navio de mau conserto, de falta de apercebimento ou esquipação, ou de má arrumação da carga; 3º. - se o temor de inimigo ou pirata não for fundado em fatos positivos que não deixem dúvida. Art. 743. Dentro das primeiras 24 (vinte e quatro) horas úteis da entrada no porto de arribada, deve o capitão apresentar-se à autoridade competente para lhe tomar o protesto da arribada, que justificará perante a mesma autoridade (arts. 505 e 512). Art. 744. As despesas ocasionadas pela arribada forçada correm por conta do fretador ou do afretador, ou de ambos, segundo for a causa que as motivou, com direito regressivo contra quem pertencer. Art. 745. Sendo a arribada justificada, nem o dono do navio nem o capitão respondem pelos prejuízos que puderem resultar à carga; se, porém, não for justificada, um e outro serão responsáveis solidariamente até a concorrência do valor do navio e frete. Art. 746. Só pode autorizar-se descarga no porto de arribada, sendo indispensavelmente necessária para conserto no navio, ou reparo de avaria da carga (art. 614). O capitão, neste caso, é responsável pela boa guarda e conservação dos efeitos descarregados; salvo unicamente os casos de força maior, ou de tal natureza que não possam ser prevenidos. A descarga será reputada legal em juízo quando tiver sido autorizada pelo juiz de direito do comércio. Nos países estrangeiros compete aos cônsules do Império dar a autorização necessária, e onde os não houver será requerida á autoridade local competente. Art. 747. A carga avariada será reparada ou vendida, como parecer mais conveniente; mas em todo o caso deve preceder autorização competente. Art. 748. O capitão não pode, debaixo de pretexto algum, diferir a partida do porto da arribada desde que cessa o motivo dela; pena de responder por perdas e danos resultantes da dilação voluntária (art. 510).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2026-10-26T04:39:46.012Z</dcterms:created>
  <dcterms:modified xsi:type="dcterms:W3CDTF">2026-10-26T04:39:46.012Z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