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/>
    <w:p>
      <w:r>
        <w:t xml:space="preserve">02.11 PARTE SEGUNDA — Do Comércio Marítimo
      TÍTULO XI - Do Dano Causado por Abalroação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XI - DO DANO CAUSADO POR ABALROAÇÃO (arts. 749 a 752) Art. 749. Sendo um navio abalroado por outro, o dano inteiro causado ao navio abalroado e à sua carga será pago por aquele que tiver causado a abalroação, se esta tiver acontecido por falta de observância do regulamento do porto, imperícia, ou negligência do capitão ou da tripulação; fazendo-se a estimação por árbitros. Art. 750. Todos os casos de abalroação serão decididos, na menor dilação possível, por peritos, que julgarão qual dos navios foi o causador do dano, conformando-se com as disposições do regulamento do porto, e os usos e prática do lugar. No caso dos árbitros declararem que não podem julgar com segurança qual navio foi culpado, sofrerá cada um o dano que tiver recebido. Art. 751. Se, acontecendo a abalroação no alto-mar, o navio abalroado for obrigado a procurar porto de arribada para poder consertar, e se perder nessa derrota, a perda do navio presume-se causada pela abalroação. Art. 752. Todas as perdas resultantes de abalroação pertencem à classe de avarias particulares ou simples; excetua-se o único caso em que o navio, para evitar dano maior de uma abalroação iminente, pica as suas amarras, e abalroa a outro para a sua própria salvação (art. 764). Os danos que o navio ou a carga, neste caso, sofre, são repartidos pelo navio, frete e carga por avaria grossa.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2026-07-28T00:19:17.923Z</dcterms:created>
  <dcterms:modified xsi:type="dcterms:W3CDTF">2026-07-28T00:19:17.923Z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