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TRANSPORTE AÉREO DE PASSAGEIRO</w:t>
      </w:r>
    </w:p>
    <w:p/>
    <w:p/>
    <w:p>
      <w:r>
        <w:t xml:space="preserve">02.11 PARTE SEGUNDA — Do Comércio Marítimo
      TÍTULO XI - Do Dano Causado por Abalroação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XI - DO DANO CAUSADO POR ABALROAÇÃO (arts. 749 a 752) Art. 749. Sendo um navio abalroado por outro, o dano inteiro causado ao navio abalroado e à sua carga será pago por aquele que tiver causado a abalroação, se esta tiver acontecido por falta de observância do regulamento do porto, imperícia, ou negligência do capitão ou da tripulação; fazendo-se a estimação por árbitros. Art. 750. Todos os casos de abalroação serão decididos, na menor dilação possível, por peritos, que julgarão qual dos navios foi o causador do dano, conformando-se com as disposições do regulamento do porto, e os usos e prática do lugar. No caso dos árbitros declararem que não podem julgar com segurança qual navio foi culpado, sofrerá cada um o dano que tiver recebido. Art. 751. Se, acontecendo a abalroação no alto-mar, o navio abalroado for obrigado a procurar porto de arribada para poder consertar, e se perder nessa derrota, a perda do navio presume-se causada pela abalroação. Art. 752. Todas as perdas resultantes de abalroação pertencem à classe de avarias particulares ou simples; excetua-se o único caso em que o navio, para evitar dano maior de uma abalroação iminente, pica as suas amarras, e abalroa a outro para a sua própria salvação (art. 764). Os danos que o navio ou a carga, neste caso, sofre, são repartidos pelo navio, frete e carga por avaria grossa. -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2026-10-26T04:37:18.834Z</dcterms:created>
  <dcterms:modified xsi:type="dcterms:W3CDTF">2026-10-26T04:37:18.834Z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