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/>
    <w:p>
      <w:r>
        <w:t xml:space="preserve">EXIGÊNCIA DE DUAS ASSINATURAS — QUANDO NÃO PODE SER INVOCADA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invocada nulidade do laudo, por constar assinatura de dois peritos quando somente um deles esteve no local, não merece acolhida, pois a exigência de duas assinaturas diz respeito ao processo penal, e não ao processo civil, sendo válida a prova emprestada.(Ementa trecho do acórdão) Ac. de 27-03-2001 DORJ de 06-04-2001 (Reg. nº 1999.001.15996) Arquivo do EMFOR, TJ/N 3.991 EMENTÁRIO FORENSE. Fevereiro, 2002. Ano LIV. Nº 639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2026-09-11T00:26:16.209Z</dcterms:created>
  <dcterms:modified xsi:type="dcterms:W3CDTF">2026-09-11T00:26:16.209Z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