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81.603</w:t>
      </w:r>
    </w:p>
    <w:p>
      <w:r>
        <w:rPr>
          <w:b/>
          <w:bCs/>
        </w:rPr>
        <w:t xml:space="preserve">Julgado em: </w:t>
      </w:r>
      <w:r>
        <w:t xml:space="preserve">01/06/1981</w:t>
      </w:r>
    </w:p>
    <w:p/>
    <w:p>
      <w:r>
        <w:t xml:space="preserve">IMÓVEIS RURAIS — UTILIDADE PÚBLICA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ao recorrente, pois, como esclareceu o acórdão recorrido, a faixa de terra, expropriada para alargamento da estrada se situa no território do Município expropriante. Outrossim, como bem observou o ilustre Desembargador OSWALDO GOULART PIRES, o acórdão trazido à colação como divergente, e de que fui relator, em seu conteúdo, não dissente da conclusão a que chegou o acórdão recorrido. - De fato, no ERE 91.567-2 - MG, de que fui relator, bem explicita a Ementa do RE 81.603 - MT - RTJ 81/502 a 513, que ensejou o equívoco do recorrente em hipótese semelhante: "As hipóteses deslindadas neste processo e no trazido a confronto, não as assemelham. Admiti os embargos pela imprecisão com que redigi a ementa do acórdão invocado; o que disse no acórdão padrão é que ao Município não compete a desapropriação por interesse social, ainda que rotulada de utilidade pública, e, como bem observa o parecer transcrito, a hipótese dos autos "não é rotulada; é ela, em sua essência, de utilidade pública." Há perfeita coerência entre o acórdão embargado e o arguido em divergência. De outro modo ficariam os municípios impedidos de abrirem estradas em seu território. O que se disse em outras palavras, no acórdão trazido a confronto, é que não podem os Municípios realizar a reforma agrária privativa da União. Não conh eço, pois, dos embargos." - Tal entendimento foi consagrado à unanimidade pelo Plenário. - Não conheço, pois, do recurso. Julgado em 02-06-1981 Revista Trimestral de Jurisprudência. Janeiro, 1982 - Vol. 99 - Pág. 443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Município para expropriar imóveis rurais, por utilidade pública, situados em seu território, ainda que registrados noutro município, segundo o estabelecido no art. 153, § 22, da Constituição Federal, a que empresta exequibilidade o Decreto-lei 3.365/41. - Acórdão que assim decide não conflita com o que reconheceu a incompetência do Município para a desapropriação de imóveis rurais por interesse social - art. 161, §§ 2º e 4º, da CF (RE 81.603 - MT - RTJ 61/502), como ficou esclarecido pele Plenário no julgamento dos ERE nº 91.567-2 - MG, em 18-02-81.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2026-10-26T04:39:43.555Z</dcterms:created>
  <dcterms:modified xsi:type="dcterms:W3CDTF">2026-10-26T04:39:43.555Z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