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90.937</w:t>
      </w:r>
    </w:p>
    <w:p>
      <w:r>
        <w:rPr>
          <w:b/>
          <w:bCs/>
        </w:rPr>
        <w:t xml:space="preserve">Julgado em: </w:t>
      </w:r>
      <w:r>
        <w:t xml:space="preserve">25/02/1980</w:t>
      </w:r>
    </w:p>
    <w:p/>
    <w:p>
      <w:r>
        <w:t xml:space="preserve">EXECUÇÃO POR DÍVIDA VINCULADA AO SFH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incompatibilidade, como foi reconhecida, entre a condenação em honorários de advogado e a multa contratual, ofende o art. 2º, III, da Lei nº 5.741, de 1º de dezembro de 1971, que enuncia essas duas cominações como integrantes do saldo devedor. - E outra não é a jurisprudência mais recente do Supremo Tribunal Federal, inclusive com a minha adesão, que reformulei ponto de vista anterior em sentido contrário. É o que demonstra o acórdão desta Primeira Turma, no RE 90.937 - RJ, relator o eminente Ministro XAVIER DE ALBUQUERQUE, encimado por esta ementa: "Multa contratual e honorários de advogado. É admissível acumulação, em relação aos contratos celebrados na vigência do Código de Processo Civil, porque seu art. 20, e respectivos parágrafos revogam o art. 8º do Decreto nº 22.626/33. Recurso extraordinário conhecido, mas não provido". (RTJ 93/726) - A data do contrato, ao anterior ou posterior ao diploma processual de 1973, não foi questionada. Qualquer que tenha sido ela, incide à execução os honorários advocatícios referentes à sucumbência, de vez que a ação foi proposta em 1977. O princípio geral de Direito Processual intertemporal é o de que suas leis aplicam-se desde logo, máxime em relação às causas propostas depois de novas normas terem entrado em vigor (JOSÉ FREDERICO MARQUES, Instituição de Direito Processual, v. I, p. 117. 2º ed.). - ............................................................................. - Ante o exposto, conheço, em parte, do recurso extraordinário (...). Julgado em 26-02-1980 Revista Trimestral de Jurisprudência. Novembro, 1981 - Vol. 98 - Pág. 848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cumulação de multa contratual e honorários de advogado nas execuções, por dívida vinculada ao Sistema Financeiro da Habitação ajuizada na vigência do Código de Processo Civil de 1973.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2026-07-27T23:35:38.127Z</dcterms:created>
  <dcterms:modified xsi:type="dcterms:W3CDTF">2026-07-27T23:35:38.127Z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