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ADMINISTRADORA DE CONSÓRCIO</w:t>
      </w:r>
    </w:p>
    <w:p/>
    <w:p>
      <w:r>
        <w:rPr>
          <w:b/>
          <w:bCs/>
        </w:rPr>
        <w:t xml:space="preserve">Recurso: </w:t>
      </w:r>
      <w:r>
        <w:t xml:space="preserve">Apelação 208.394</w:t>
      </w:r>
    </w:p>
    <w:p>
      <w:r>
        <w:rPr>
          <w:b/>
          <w:bCs/>
        </w:rPr>
        <w:t xml:space="preserve">Julgado em: </w:t>
      </w:r>
      <w:r>
        <w:t xml:space="preserve">12/04/1978</w:t>
      </w:r>
    </w:p>
    <w:p/>
    <w:p>
      <w:r>
        <w:t xml:space="preserve">ANÚNCIOS E PUBLICIDADE — IMUNIDADE CONSTITUCIONAL - AMPLITUDE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Sr. Presidente, o art. 19 da Constituição diz: "Art. 19. - É vedado à União, aos Estados, ao Distrito Federal e aos Municípios: I - Instituir ou aumentar tributo sem que a lei o estabeleça, ressalvados os casos previstos nesta Constituição; ............................. III - instituir imposto sobre: .............................. d) - o livro, o jornal e os periódicos, assim como o papel destinado à sua impressão". - Nenhum jornal pode viver sem anúncio. Então, se tributarmos os anúncios, tornaremos letra morta o dispositivo constitucional. - "Data venia" do eminente Ministro XAVIER DE ALBUQUERQUE, não conheço do recurso. Julgado em 13-04-1978 VOTO VENCIDO DO MINISTRO XAVIER DE ALBUQUERQUE (Relator): - O acórdão recorrido louvou-se nas opiniões de PAULO ROBERTO CABRAL NOGUEIRA e JOSÉ NABANTINO RAMOS, contrárias à incidência do ISS sobre a propaganda levada a cabo por jornais. Em trabalho anterior ao que o arresto citou, o segundo desses especialistas já manifestara o mesmo entendimento ("Tributos sobre a imprensa", RT 413-22, 24). - Mesmo em doutrina, contudo, é controvertida a questão, como se vê da opinião divergente de BERNARDO RIBEIRO DE MORAES. Diz esse autor, com efeito, no seu conhecido Doutrina e Prática do Imposto Sobre Serviços, págs. 324-326: "Com a devida "vênia", a inserção de anúncios em jornais é receita de propaganda. Constitui, conforme diz a lista de serviços, "divulgação de materiais de publicidade", e, como tal, está sujeita ao ISS. Embora a empresa jornalística não seja uma agência de publicidade, realiza ela trabalho de divulgação (propaganda). Como veículo de divu lgação da publicidade feita, constitui um meio que irá permitir o benefício publicitário para terceiros interessados. O interessado na propaganda procura, pessoalmente ou através das agências de publicidade, a empresa jornalística que irá fazer a propaganda (divulgar, veicular). Com o jornal, realiza-se contrato de inserção, pela qual o editor se encarrega de, mediante preço certo, estampar no jornal o anúncio desejado. O contrato não será de publicidade, mas, sim, de propaganda. Seu objeto é a divulgação do anúncio, sendo o jornal o único veículo. A imunidade estabelecida pela Constituição, ensina PONTES DE MIRANDA, é objetiva, esclarecendo que "os cartazes, como os folhetos de propaganda e o papel em que se imprime, esses, não são imunes". Nossos Tribunais têm entendido, também, no sentido de que a propaganda inserta no jornal está sujeita ao ISS. Reconhecemos ser a editora indústria ao imprimir e vender jornais que edita. Todavia ao aceitar anúncios, presta serviços. Já demonstrou ANTONIO DE PÁDUA REIS, eminente procurador da PMSP, em tese consagrada pelo TASP (Apelação nº 208.394), que a empresa que faz livros a terceiros presta serviços alcançados pelo ISS. Não é editora de livros. Assim, propaganda em jornais origina a incidência do ISS. Embora a Constituição tenha ampliado a vedação constitucional, em relação à Carta Política anterior, procurando compensar e empresa jornalística do aumento do custo de produção do jornal ocasionado pelo encarecimento do papel, motivado pela retirada da subvenção oficial, o certo é que essa imunidade do jornal não alcança a atividade deles relativa à exploração da propaganda". - De minha parte, também penso que a imunidade constitucional não vai tão longe quanto a levou o acórdão recorrido. - Observo, aliás, que a propaganda, no direito brasileiro - e não somente à luz do Código Tributário Nacional, com as alterações dos Decretos-leis nº 406/68 e 834/69, mas também sob o enfoque da Lei nº 4.6 80, de 18-06-65, e do seu Regulamento aprovado com o Decreto nº 57.690, de 01-02-66 - é concebida como serviço. - Define-a o art. 5º da Lei nº 4.680/65, "verbis": "Art. 5º. Compreende-se por propaganda qualquer forma remunerada de difusão de idéias, mercadorias ou serviços, por parte de um anunciante identificado. - Ainda mais explícito, reza o art. 14 do Regulamento: "Art. 14. O preço dos serviços prestados pelo veículo de divulgação será por este fixado em Tabela Pública aplicável a todos os compradores, em igualdade de condições, incumbindo ao veículo respeitá-la e fazer com que seja respeitada por seus Representantes. - Isto posto, conheço do recurso e lhe dou provimento para julgar improcedente a ação, invertidos os ônus da sucumbência. IDEM VENCIDO O MINISTRO SOARES MUÑOZ Revista Trimestral de Jurisprudência. Fevereiro, 1979 - Vol. 87 - Pág. 608 EMFOR 407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Exegese do art. 19, III, d, da Emenda Constitucional número 1/1969. - A imunidade estabelecida na Constituição é ampla, abrangendo os serviços prestados pela empresa jornalística na transmissão de anúncios e de propaganda.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2026-10-26T02:19:34.065Z</dcterms:created>
  <dcterms:modified xsi:type="dcterms:W3CDTF">2026-10-26T02:19:34.065Z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