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OFICIAL DE REGISTRO DE IMÓVEIS</w:t>
      </w:r>
    </w:p>
    <w:p/>
    <w:p>
      <w:r>
        <w:rPr>
          <w:b/>
          <w:bCs/>
        </w:rPr>
        <w:t xml:space="preserve">Julgado em: </w:t>
      </w:r>
      <w:r>
        <w:t xml:space="preserve">01/09/1980</w:t>
      </w:r>
    </w:p>
    <w:p/>
    <w:p>
      <w:r>
        <w:t xml:space="preserve">DEVOLUÇÃO DO INDEVIDO — TERMO INICIAL - COMO SE CONTA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controvérsia se resume apenas no que diz com o termo inicial a ser considerado para o cálculo da correção monetária. - A maioria fixou-o nas datas dos diversos recolhimentos noticiados na petição inicial, por não ter havido quanto a isto impugnação, observada a data da vigência da Lei 4.357/64, enquanto o douto voto vencido do Sr. Ministro ARMANDO ROLLEMBERG somente admite a incidência do cálculo de atualização do crédito a partir de sessenta dias após o trânsito em julgado da decisão. - O douto voto vencido se atém ao art. 7º, §§ 4º e 5º da Lei: "§ 4º. As importâncias depositadas pelo contribuinte em garantia da instância administrativa ou judicial deverão ser devolvidas obrigatoriamente no prazo máximo de 60 dias, contados da data de decisão que houver reconhecido a improcedência parcial ou total da exigência fiscal. "5º. Se as importâncias depositadas, na forma do parágrafo anterior, não forem devolvidas no prazo nele previsto, ficarão sujeitas à permanente correção monetária, até a data da efetiva devolução, podendo ser utilizadas pelo contribuinte como compensação, no pagamento de tributos federais." - Mas é bem de ver que as exegese textual desses preceitos deveria, portanto, limitar-se ao caso de depósito em garantia de instância administrativa ou judicial. - Tenho "data venia", como mais razoável aplicar analogicamente à espécie o art. 7º, citado, "caput". - Em verdade, o recolhimento indébito encontra sua contrapartida lógica perfeita na falta de recolhimento do devido e, não, na realização de depósito para garantia de instância. - A matéria, aliás, tem sido assim decidida neste Tribunal e no Supremo. Acrescento que, para assim entender, na espécie, não é mister efetuar construção interpretativa inspirada em eqüidade, bastando a harmoniosa interpretação do contexto da lei. - Rejeito os embargos. Julgado em 02-09-1980 Revista do Tribunal Federal de Recursos. Novembro, 1981 - nº 79 - Pág. 9 EMFOR 406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Analogia feita com o art. 7º "caput", da Lei nº 4.357 e não com seus §§ 4º e 5º. - É devida a correção monetária das quantias indebitamente recolhidas a título de tributo. - A incidência de correção é a partir da data de recolhimento, desde que posterior à Lei nº 4.357.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2026-10-26T02:48:36.987Z</dcterms:created>
  <dcterms:modified xsi:type="dcterms:W3CDTF">2026-10-26T02:48:36.987Z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