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09/04/1980</w:t>
      </w:r>
    </w:p>
    <w:p/>
    <w:p>
      <w:r>
        <w:t xml:space="preserve">FUNDAMENTO EM FALSIDADE DE PROCURAÇÃO PÚBLICA — CHAMAMENTO DO ESCRIVÃO - FALTA - ANULAÇÃO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é de anulação de escritura de venda na qual os alienantes foram representados por procurador, que assim se apresentou exibindo instrumento público no qual foram falsificadas as assinaturas dos pretensos mandantes. - Assim, o oficial do cartório onde se falsificaram aquelas assinaturas por lei responsável pelos prejuízos que o fato acarretou a terceiros (art. 28 da Lei de Registros Públicos), deveria ter sido chamado a integrar a lide (art. 70, III, do Código de Processo Civil), providência não determinada pelo Magistrado, apesar de sugerida na contestação (...) e na defesa dos apelantes. - ...................................................................... - Por tudo isso, impõe-se o provimento do apelo e a anulação do processo para que se completem as citações das pessoas, que nele obrigatoriamente devem intervir, (...). Julgado em 10-04-1980 Revista dos Tribunais. Outubro, 1982 - Vol. 540 - Pág. 95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 de ação para anular venda de imóvel feita por procurador, sob o fundamento de falsidade da procuração pública, o Escrivão do cartório onde esta foi feita deve ser chamado para integrar a lide.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2026-10-26T02:48:07.654Z</dcterms:created>
  <dcterms:modified xsi:type="dcterms:W3CDTF">2026-10-26T02:48:07.654Z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