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09/04/1980</w:t>
      </w:r>
    </w:p>
    <w:p/>
    <w:p>
      <w:r>
        <w:t xml:space="preserve">FUNDAMENTO EM FALSIDADE DE PROCURAÇÃO PÚBLICA — CHAMAMENTO DO ESCRIVÃO - FALTA - ANULAÇÃO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é de anulação de escritura de venda na qual os alienantes foram representados por procurador, que assim se apresentou exibindo instrumento público no qual foram falsificadas as assinaturas dos pretensos mandantes. - Assim, o oficial do cartório onde se falsificaram aquelas assinaturas por lei responsável pelos prejuízos que o fato acarretou a terceiros (art. 28 da Lei de Registros Públicos), deveria ter sido chamado a integrar a lide (art. 70, III, do Código de Processo Civil), providência não determinada pelo Magistrado, apesar de sugerida na contestação (...) e na defesa dos apelantes. - ...................................................................... - Por tudo isso, impõe-se o provimento do apelo e a anulação do processo para que se completem as citações das pessoas, que nele obrigatoriamente devem intervir, (...). Julgado em 10-04-1980 Revista dos Tribunais. Outubro, 1982 - Vol. 540 - Pág. 95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 de ação para anular venda de imóvel feita por procurador, sob o fundamento de falsidade da procuração pública, o Escrivão do cartório onde esta foi feita deve ser chamado para integrar a lide.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2026-07-28T00:42:19.718Z</dcterms:created>
  <dcterms:modified xsi:type="dcterms:W3CDTF">2026-07-28T00:42:19.718Z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