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Julgado em: </w:t>
      </w:r>
      <w:r>
        <w:t xml:space="preserve">29/12/1980</w:t>
      </w:r>
    </w:p>
    <w:p/>
    <w:p>
      <w:r>
        <w:t xml:space="preserve">COBRANÇA — SE SÃO CABÍVEIS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ação para cobrança de cédula de crédito industrial, efetivada a penhora e dela intimado o réu ofereceu este embargos do devedor, com fundamentos no Código de Processo Civil. - Tais embargos são incabíveis e deveriam ter sido rejeitados liminarmente, pois a cobrança de cédula de crédito industrial obedece a processo próprio, regulado no Dec. Lei nº 413, de 09 de janeiro de 1969, não revogado pelo Código de Processo Civil, e a defesa do réu se faz pela forma e nos prazos ali estabelecidos, havendo, inclusive, sentença, o que não ocorre no processo de execução. - NEGADO PROVIMENTO AO RECURSO, MANTIDA A SENTENÇA APELADA POR SUA CONCLUSÃO. Julgado em 30-12-1980 Arquivo do Ementário Forense, TA/389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cobrança da cédula de crédito industrial é regulada por lei especial, sendo incabíveis, como defesa, os embargos de devedor disciplinados no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2026-07-28T02:14:20.421Z</dcterms:created>
  <dcterms:modified xsi:type="dcterms:W3CDTF">2026-07-28T02:14:20.421Z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