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OFICIAL DE REGISTRO DE IMÓVEIS</w:t>
      </w:r>
    </w:p>
    <w:p/>
    <w:p>
      <w:r>
        <w:rPr>
          <w:b/>
          <w:bCs/>
        </w:rPr>
        <w:t xml:space="preserve">Recurso: </w:t>
      </w:r>
      <w:r>
        <w:t xml:space="preserve">RE 85.435</w:t>
      </w:r>
    </w:p>
    <w:p>
      <w:r>
        <w:rPr>
          <w:b/>
          <w:bCs/>
        </w:rPr>
        <w:t xml:space="preserve">Julgado em: </w:t>
      </w:r>
      <w:r>
        <w:t xml:space="preserve">23/03/1981</w:t>
      </w:r>
    </w:p>
    <w:p/>
    <w:p>
      <w:r>
        <w:t xml:space="preserve">RESPONSABILIDADE SOLIDÁRIA — SE ABRANGE AS MULTAS PUNITIVAS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impugnado julgou que, nos termos do art. 133 do Código Tributário Nacional, o sucessor é responsável pelos tributos pertinentes ao fundo ou estabelecimento adquirido, não porém pela multa que, mesmo de natureza tributária, tem o caráter punitivo. - Julgando que a multa punitiva não é exigível do sucessor, o referido acórdão sustentou o mesmo entendimento que a jurisprudência desta Corte fixou sobre a matéria. - Além dos precedentes indicados no parecer da eg. Procuradoria-Geral da República, outros mais recentes podem igualmente ser lembrados, como sejam os acórdãos proferidos nestes casos: RE 85.435, RE 85.511 (TRJ, 87/230), RE 89.438 (RTJ, 88/696), RE 90.834 (TRJ, 93/862). - Não conheço do recurso, é o meu voto. Julgado em 24-03-1981 Revista Trimestral de Jurisprudência. Novembro, 1981 - Vol. 98 - Pág. 733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Código Tributário Nacional, art. 133. - O Supremo Tribunal Federal sustenta o entendimento de que o sucessor é responsável pelos tributos pertinentes ao fundo ou estabelecimento adquirido, não, porém, pelas multas que, mesmo de natureza tributária, tem o caráter punitivo.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2026-07-28T00:23:53.255Z</dcterms:created>
  <dcterms:modified xsi:type="dcterms:W3CDTF">2026-07-28T00:23:53.255Z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