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OFICIAL DE REGISTRO DE IMÓVEIS</w:t>
      </w:r>
    </w:p>
    <w:p/>
    <w:p>
      <w:r>
        <w:rPr>
          <w:b/>
          <w:bCs/>
        </w:rPr>
        <w:t xml:space="preserve">Recurso: </w:t>
      </w:r>
      <w:r>
        <w:t xml:space="preserve">RE 85.435</w:t>
      </w:r>
    </w:p>
    <w:p>
      <w:r>
        <w:rPr>
          <w:b/>
          <w:bCs/>
        </w:rPr>
        <w:t xml:space="preserve">Julgado em: </w:t>
      </w:r>
      <w:r>
        <w:t xml:space="preserve">23/03/1981</w:t>
      </w:r>
    </w:p>
    <w:p/>
    <w:p>
      <w:r>
        <w:t xml:space="preserve">RESPONSABILIDADE SOLIDÁRIA — SE ABRANGE AS MULTAS PUNITIVAS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impugnado julgou que, nos termos do art. 133 do Código Tributário Nacional, o sucessor é responsável pelos tributos pertinentes ao fundo ou estabelecimento adquirido, não porém pela multa que, mesmo de natureza tributária, tem o caráter punitivo. - Julgando que a multa punitiva não é exigível do sucessor, o referido acórdão sustentou o mesmo entendimento que a jurisprudência desta Corte fixou sobre a matéria. - Além dos precedentes indicados no parecer da eg. Procuradoria-Geral da República, outros mais recentes podem igualmente ser lembrados, como sejam os acórdãos proferidos nestes casos: RE 85.435, RE 85.511 (TRJ, 87/230), RE 89.438 (RTJ, 88/696), RE 90.834 (TRJ, 93/862). - Não conheço do recurso, é o meu voto. Julgado em 24-03-1981 Revista Trimestral de Jurisprudência. Novembro, 1981 - Vol. 98 - Pág. 733 EMFOR 406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Código Tributário Nacional, art. 133. - O Supremo Tribunal Federal sustenta o entendimento de que o sucessor é responsável pelos tributos pertinentes ao fundo ou estabelecimento adquirido, não, porém, pelas multas que, mesmo de natureza tributária, tem o caráter punitivo.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2026-10-26T05:01:47.593Z</dcterms:created>
  <dcterms:modified xsi:type="dcterms:W3CDTF">2026-10-26T05:01:47.593Z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