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16/04/1981</w:t>
      </w:r>
    </w:p>
    <w:p/>
    <w:p>
      <w:r>
        <w:t xml:space="preserve">ADIAMENTO — SE É NECESSÁRIO RENOVÁ-LA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é certo que o acórdão impugnado seja ofensivo do § 1º do art. 168, do Código de Processo Civil de 1939, como sustenta o recorrente. - A tese do impugnante é a de que, adiado o julgamento pelo Tribunal, indispensável é a intimação das partes e de seus advogados para que tenham ciência de quando se julgará o caso. - Todavia, essa nova intimação não é de modo nenhum exigida em lei. - Incluído que seja o processo na pauta dos julgamentos de certo dia, e intimadas as partes o seus advogados para que tenham ciência desse ato do procedimento, pode o Tribunal julgar o caso noutra sessão independentemente de se intimar de novo as partes e seus procuradores. - Essa nova intimação não era exigida pelo Código de Processo Civil de 1939, nem também exigida pelo Código de Processo Civil de 1973. - Não é, pois, aceitável a tese do recorrente, visto que não se vulnerou o § 1º do Código de Processo Civil de 1939, portanto essa norma não impõe se faça nova intimação no caso em que o julgamento é adiado. - Não conheço do recurso. Julgado em 17-04-1981 Revista Trimestral de Jurisprudência. Outubro, 1981 - Vol. 98 - Pág. 147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Incluído seja o processo na pauta dos julgamentos a serem feitos pelo Tribunal em certo dia, e intimadas as partes e seus advogados para que tenham ciência desse ato do procedimento, pode o Tribunal julgar o caso noutra cessão, independentemente a se intimar de novo as partes e seus procuradores. Essa nova intimação não era exigida pelo Código de Processo Civil de 1939, nem é exigida pelo Código de Processo Civil de 1973.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2026-10-26T02:40:04.127Z</dcterms:created>
  <dcterms:modified xsi:type="dcterms:W3CDTF">2026-10-26T02:40:04.127Z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