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 90.635</w:t>
      </w:r>
    </w:p>
    <w:p>
      <w:r>
        <w:rPr>
          <w:b/>
          <w:bCs/>
        </w:rPr>
        <w:t xml:space="preserve">Julgado em: </w:t>
      </w:r>
      <w:r>
        <w:t xml:space="preserve">03/05/1982</w:t>
      </w:r>
    </w:p>
    <w:p/>
    <w:p>
      <w:r>
        <w:t xml:space="preserve">RESCISÃO UNILATERAL E INJUSTA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tema é reiterado o entendimento do Supremo Tribunal Federal. - Além de reiterado, antigo, pois, como assinalou o eminente Ministro SOARES MUÑOZ no voto preferido no RE 90.635, de há muito se admitiria a correção monetária na responsabilidade civil decorrente de culpa contratual (RTJ 73/956, 76/623, 82/285). - Recorde-se, ademais, o caso julgado pelo Pleno nos ERE 85.604, em 24-10-79, relator o eminente Ministro DJACI FALCÃO, em que não se conheceu dos embargos da Petrobras, adversos à tese da incidência de correção monetária na composição resultante de injusto rescisão do contrato de construção. (RTJ 98/162-172). - Conheço do recurso e lhe dou provimento, para mandar calcular a reclamada correção monetária sobre a indenização reconhecida à recorrente, tal como já o fizera a sentença de primeiro grau relativamente à quantia (...) de saldo contratual (...) e a partir da data do inadimplemento. - É o meu voto. Julgado em 04-05-1982 Revista Trimestral de Jurisprudência. Setembro. 1982 - Vol. 101 - Pág. 1309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rescisão unilateral e injusta do contrato de empreitada, cabível a atualização do valor da indenização, tanto no correspondente aos danos emergentes quanto no atribuído a título de lucros cessantes.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2026-10-26T05:02:13.144Z</dcterms:created>
  <dcterms:modified xsi:type="dcterms:W3CDTF">2026-10-26T05:02:13.144Z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