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 90.635</w:t>
      </w:r>
    </w:p>
    <w:p>
      <w:r>
        <w:rPr>
          <w:b/>
          <w:bCs/>
        </w:rPr>
        <w:t xml:space="preserve">Julgado em: </w:t>
      </w:r>
      <w:r>
        <w:t xml:space="preserve">03/05/1982</w:t>
      </w:r>
    </w:p>
    <w:p/>
    <w:p>
      <w:r>
        <w:t xml:space="preserve">RESCISÃO UNILATERAL E INJUSTA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Nesse tema é reiterado o entendimento do Supremo Tribunal Federal. - Além de reiterado, antigo, pois, como assinalou o eminente Ministro SOARES MUÑOZ no voto preferido no RE 90.635, de há muito se admitiria a correção monetária na responsabilidade civil decorrente de culpa contratual (RTJ 73/956, 76/623, 82/285). - Recorde-se, ademais, o caso julgado pelo Pleno nos ERE 85.604, em 24-10-79, relator o eminente Ministro DJACI FALCÃO, em que não se conheceu dos embargos da Petrobras, adversos à tese da incidência de correção monetária na composição resultante de injusto rescisão do contrato de construção. (RTJ 98/162-172). - Conheço do recurso e lhe dou provimento, para mandar calcular a reclamada correção monetária sobre a indenização reconhecida à recorrente, tal como já o fizera a sentença de primeiro grau relativamente à quantia (...) de saldo contratual (...) e a partir da data do inadimplemento. - É o meu voto. Julgado em 04-05-1982 Revista Trimestral de Jurisprudência. Setembro. 1982 - Vol. 101 - Pág. 1309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rescisão unilateral e injusta do contrato de empreitada, cabível a atualização do valor da indenização, tanto no correspondente aos danos emergentes quanto no atribuído a título de lucros cessantes.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2026-09-11T01:51:46.138Z</dcterms:created>
  <dcterms:modified xsi:type="dcterms:W3CDTF">2026-09-11T01:51:46.138Z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