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27/06/1976</w:t>
      </w:r>
    </w:p>
    <w:p/>
    <w:p>
      <w:r>
        <w:t xml:space="preserve">QUANDO SE CONSTITUI APÓS O RECURSO CONTRA O SEU LANÇAMENTO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constituição definitiva do crédito fiscal só se dá com a lavratura do auto de infração e a imposição da multa, se não tiver havido recurso administrativo. Em caso contrário, só ocorre após o resultado do julgamento do último recurso administrativo cabível. Com efeito, estabelece o art. 145 do Código Tributário Nacional poder ser o lançamento modificado por interposição de recurso pela parte, e o art. 151, inciso III, não poder o débito fiscal ser exigido, enquanto não for julgado o recurso. Este, pois, tem efeito suspensivo, e, consequentemente, somente depois de seu julgamento é que se pode dizer estar o crédito fiscal definitivamente constituído. - Por sua vez o art. 174 estabelece como marca inicial da prescrição a constituição definitiva do crédito fiscal. - Ora, no caso "sub judice" o contribuinte defendeu-se administrativamente, tendo o seu recurso, perante o Tribunal de Impostos e Taxas, sido julgado em 28-06-1976. - A citação do recorrido para defender-se na execução fiscal se deu, como afirma a própria decisão recorrida, em 05-08-1977. - A execução fiscal foi ajuizada em 15-07-77 e a citação feita ao devedor em 05-08-77. - Não houve, pois, a prescrição, e decidindo em contrário o Tribunal de Alçada de São Paulo não só divergiu de julgados do Supremo Tribunal Federal, como violou os arts. 145, 151, inciso III, e 174 do Código Tributário Nacional. - Nestes termos, conheço do recurso e lhe dou provimento para que, afastada a prejudicial de prescrição, a egrégia Sexta Câmara do Primeiro Tribunal de Alçada de São Paulo prossiga no julgamento da apelação. Julgado em 03-02-1981 Revista Trimestral de Jurisprudência. Setembro, 1982 - Vol. 101 - Pág. 1211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crédito fiscal só está definitivamente constituído, havendo recurso da parte com relação ao lançamento, depois do seu julgamento.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2026-09-10T22:44:51.950Z</dcterms:created>
  <dcterms:modified xsi:type="dcterms:W3CDTF">2026-09-10T22:44:51.950Z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