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Apelação 138.248</w:t>
      </w:r>
    </w:p>
    <w:p>
      <w:r>
        <w:rPr>
          <w:b/>
          <w:bCs/>
        </w:rPr>
        <w:t xml:space="preserve">Julgado em: </w:t>
      </w:r>
      <w:r>
        <w:t xml:space="preserve">03/11/1982</w:t>
      </w:r>
    </w:p>
    <w:p/>
    <w:p>
      <w:r>
        <w:t xml:space="preserve">A PARTIR DE QUANDO VIGORA O NOVO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assentou o Egrégio Segundo Tribunal de Alçada Civil de São Paulo, através de sua Nona Câmara, "o novo locativo é devido a partir da citação, tanto que o § 3º do art. 53 é expresso no conceder o parcelamento dos aluguéis vencidos no curso da lide, embora monetariamente corrigidos" (Jurisprudência do Tribunal de Alçada Civil de São Paulo vol. 70, 1981, pág. 189). - Diversa também não é a orientação da Segunda Câmara desse mesmo Tribunal, segundo se infere do excerto do acórdão proferido na Apelação nº 138.248, da comarca de São Caetano do Sul, a seguir transcrito: "Mostra-se relevante, todavia, quanto ao tema restante, pois a nova renda nos termos da lei, é a partir do chamamento a juízo (tanto que as diferenças correspondentes aos meses decorridos durante a ação de revisão sujeitam-se à corrigenda monetária)" (JTACSP, vol. 71, pág. 240). - Assim, nega-se provimento ao recurso. Julgado em 04-11-1982 Jurisprudência Catarinense. 4º Trimestre, 1982 - Nº XXXVIII - Pág. 220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Firma-se a orientação, na área da jurisprudência, no sentido de que o novo aluguel deve vigorar a partir da citação e não do trânsito em julgado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2026-10-26T03:51:34.524Z</dcterms:created>
  <dcterms:modified xsi:type="dcterms:W3CDTF">2026-10-26T03:51:34.524Z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