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TAXA DE LICENÇA PARA LOCALIZAÇÃO</w:t>
      </w:r>
    </w:p>
    <w:p>
      <w:r>
        <w:rPr>
          <w:i/>
          <w:iCs/>
          <w:color w:val="666666"/>
        </w:rPr>
        <w:t xml:space="preserve">INTERDIÇÃO DE ESTABELECIMENTO</w:t>
      </w:r>
    </w:p>
    <w:p/>
    <w:p>
      <w:r>
        <w:rPr>
          <w:b/>
          <w:bCs/>
        </w:rPr>
        <w:t xml:space="preserve">Recurso: </w:t>
      </w:r>
      <w:r>
        <w:t xml:space="preserve">Apelação 138.248</w:t>
      </w:r>
    </w:p>
    <w:p>
      <w:r>
        <w:rPr>
          <w:b/>
          <w:bCs/>
        </w:rPr>
        <w:t xml:space="preserve">Julgado em: </w:t>
      </w:r>
      <w:r>
        <w:t xml:space="preserve">03/11/1982</w:t>
      </w:r>
    </w:p>
    <w:p/>
    <w:p>
      <w:r>
        <w:t xml:space="preserve">A PARTIR DE QUANDO VIGORA O NOVO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conforme assentou o Egrégio Segundo Tribunal de Alçada Civil de São Paulo, através de sua Nona Câmara, "o novo locativo é devido a partir da citação, tanto que o § 3º do art. 53 é expresso no conceder o parcelamento dos aluguéis vencidos no curso da lide, embora monetariamente corrigidos" (Jurisprudência do Tribunal de Alçada Civil de São Paulo vol. 70, 1981, pág. 189). - Diversa também não é a orientação da Segunda Câmara desse mesmo Tribunal, segundo se infere do excerto do acórdão proferido na Apelação nº 138.248, da comarca de São Caetano do Sul, a seguir transcrito: "Mostra-se relevante, todavia, quanto ao tema restante, pois a nova renda nos termos da lei, é a partir do chamamento a juízo (tanto que as diferenças correspondentes aos meses decorridos durante a ação de revisão sujeitam-se à corrigenda monetária)" (JTACSP, vol. 71, pág. 240). - Assim, nega-se provimento ao recurso. Julgado em 04-11-1982 Jurisprudência Catarinense. 4º Trimestre, 1982 - Nº XXXVIII - Pág. 220 EMFOR 415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Firma-se a orientação, na área da jurisprudência, no sentido de que o novo aluguel deve vigorar a partir da citação e não do trânsito em julgado da sentença.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Catarinense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2026-06-17T15:27:05.288Z</dcterms:created>
  <dcterms:modified xsi:type="dcterms:W3CDTF">2026-06-17T15:27:05.288Z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