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LICENÇA PARA LOCALIZAÇÃO</w:t>
      </w:r>
    </w:p>
    <w:p>
      <w:r>
        <w:rPr>
          <w:i/>
          <w:iCs/>
          <w:color w:val="666666"/>
        </w:rPr>
        <w:t xml:space="preserve">INTERDIÇÃO DE ESTABELECIMENTO</w:t>
      </w:r>
    </w:p>
    <w:p/>
    <w:p>
      <w:r>
        <w:rPr>
          <w:b/>
          <w:bCs/>
        </w:rPr>
        <w:t xml:space="preserve">Recurso: </w:t>
      </w:r>
      <w:r>
        <w:t xml:space="preserve">RE 89.910</w:t>
      </w:r>
    </w:p>
    <w:p>
      <w:r>
        <w:rPr>
          <w:b/>
          <w:bCs/>
        </w:rPr>
        <w:t xml:space="preserve">Julgado em: </w:t>
      </w:r>
      <w:r>
        <w:t xml:space="preserve">22/04/1982</w:t>
      </w:r>
    </w:p>
    <w:p/>
    <w:p>
      <w:r>
        <w:t xml:space="preserve">EMPRESA PÚBLICA FEDERAL CONTRA AUTORIDADE MUNICIPAL —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Consoante se verifica do enunciado 511 da Súmula, ainda hoje aplicável visto que a Emenda nº 1 não modificou, nesse ponto, a Constituição de 1967 (conferir respectivamente art. 119, I, e art. 125, I), "compete à Justiça Federal, em ambas as instâncias, processar e julgar as causas entre autarquias federais e entidades públicas locais, inclusive mandado de segurança". - Onde esta Súmula 511 consigna "autarquias federais", deve-se ler também "empresas públicas federais", tal como no texto autorizador do enunciado, o anterior art. 119, I, ou o atual art. 125, I, da Carta. - No sentido do que ora se decide é o acórdão no RE 89.910 (RTJ 95/795), feita a adaptação para dizer-se empresa pública onde ali está autarquia federal e ato de autoridade municipal, em vez de estadual. - Conheço do recurso, pela alegada contrariedade ao art. 125, I, da Constituição Federal, e lhe dou provimento, para que, afastada a preliminar de incompetência da Justiça Federal, julgue o Tribunal Federal de Recursos como for de direito a remessa "ex-officio" e a apelação do Município do Rio de Janeiro. - É o meu voto. Julgado em 23-04-1982 Revista Trimestral de Jurisprudência. Setembro. 1982 - Vol. 101 - Pág. 1295 (*) "EMENTÁRIO FORENSE", Nº 255, t. COMPETÊNCIA, st. CAUSAS ENTRE PESSOAS JURÍDICAS DE DIREITO PÚBLICO EMFOR 415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mandado de segurança requerido por empresa pública federal contra autoridade municipal, cabe seu julgamento, nas instâncias ordinárias, ao Juiz Federal e ao Tribunal Federal de Recursos, não significando o inciso VIII do art. 125 restrição ao que se compreende no inciso I do mesmo artigo da Constituição.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2026-10-26T07:04:35.988Z</dcterms:created>
  <dcterms:modified xsi:type="dcterms:W3CDTF">2026-10-26T07:04:35.988Z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