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09/02/1981</w:t>
      </w:r>
    </w:p>
    <w:p/>
    <w:p>
      <w:r>
        <w:t xml:space="preserve">ESTIPULAÇÃO DE PAGAMENTO NESTA — SE É VÁLIDA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Examinados os autos, verifiquei o acerto do acórdão recorrido e do despacho denegatório do recurso. É que à espécie, ao contrário do sustentado pelo recorrente, não incide o art. 1º do Decreto-lei nº 857, de 11 de setembro de 1969, e, sim, as ressalvas previstas no art. 2º, IV e V, do mesmo diploma legal. E isso está devidamente demonstrado no acórdão, em trecho reproduzido no despacho transcrito no relatório. - Ante o exposto, não conheço do recurso extraordinário. Julgado em 10-02-1981 Revista Trimestral de Jurisprudência. Agosto, 1982 - Vol. 101 - Pág. 765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Incidência do art. 2º, III e IV, do Decreto-lei nº 857/69. - É válido o contrato de empréstimo com estipulação de pagamento em moeda estrangeira.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2026-09-10T22:44:04.243Z</dcterms:created>
  <dcterms:modified xsi:type="dcterms:W3CDTF">2026-09-10T22:44:04.243Z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