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15/02/1982</w:t>
      </w:r>
    </w:p>
    <w:p/>
    <w:p>
      <w:r>
        <w:t xml:space="preserve">SERVIÇOS PRESTADOS PELA CONCUBINA — PRAZO - VINTE 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prescrição, no caso, é vintenária, como tem decidido este Supremo Tribunal nos Recursos Extraordinários de ns. 89.193 e 78.809 relatados respectivamente pelos Senhores Ministros RODRIGUES ALCKMIN e MOREIRA ALVES, indicados no parecer da Procuradoria-Geral da República. O acórdão recorrido é no mesmo sentido, da não aplicação do nº V do § 10º do art. 178, do Código Civil, à hipótese dos autos. Não se trata de pagamento de salários de serviçais e sim de uma indenização em razão de convivência "more uxório", relativa a direito admitido, consagrado por reiterada jurisprudência. Como tal, ou seja, como criação jurisprudencial não poderia ter prazo prescricional, fixado em lei que é anterior à concepção e fixação na jurisprudência. - Conheço do RE com apoio na letra "d" do inciso constitucional, mas lhe nego provimento, pois que o direito da recorrida não está prescrito. - É o voto. Julgado em 16-02-1982 Revista Trimestral de Jurisprudência. Agosto, 1982 - Vol. 101 - Pág. 744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indenização pela concubina contra amásio por serviços prestados, tem prescrição vintenária.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2026-06-17T15:31:49.065Z</dcterms:created>
  <dcterms:modified xsi:type="dcterms:W3CDTF">2026-06-17T15:31:49.065Z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