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>
      <w:r>
        <w:rPr>
          <w:b/>
          <w:bCs/>
        </w:rPr>
        <w:t xml:space="preserve">Recurso: </w:t>
      </w:r>
      <w:r>
        <w:t xml:space="preserve">RE 86.054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16/03/1981</w:t>
      </w:r>
    </w:p>
    <w:p/>
    <w:p>
      <w:r>
        <w:t xml:space="preserve">ABERTURA A MENOS DE METRO E MEIO DO VIZINHO — LAPSO DE ANO E DIA - SE INDUZ SERVIDÃO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Apesar do tempo decorrido, não se pode falar em servidão de luz ("Revista de Jurisprudência do TJSP" 6/50; RT 506/71). - Escreve PONTES DE MIRANDA: "Passado o lapso de ano e dia, preclui a pretensão ao desfazimento, que pode ser a pretensão à demolição. "O conteúdo do direito de propriedade sofreu limitação. Não nasce, com isso, servidão. O vizinho perdeu a pretensão que poderia ter exercido, nunciativamente, ou até ano e dia após a conclusão das obras" ("Tratado de Direito Privado", 13/398, § 1.547, ed. Borsói, 1955). - É o entendimento dominante, diverso do que vigorava no Direito anterior. - O STF apreciando caso de São Paulo ("Revista de Jurisprudência do TJSP" 41/58), firmou: "Escoado o prazo de ano e dia a que alude o art. 576 do Código Civil, o proprietário do prédio vizinho ao em que se construiu a janela, sacada ou terraço sobre o seu não poderá exigir do dono deste que os desfaça; não nasce, porém, para este, servidão de luz por usucapião a prazo reduzido" (RE 86.054, ac. de 05-05-77. "Revista de Jurisprudência do TJSP" 47/89; RTJ 83/559). - No longo e brilhante voto proferido, o relator, Min. MOREIRA ALVES, examinou a questão, desde as Ordenações do Reino, citando opiniões contrárias e favoráveis ao seu ponto-de-vista, para acolher afinal, a lição de PONTES DE MIRANDA, acima mencionada. - Em resumo, não há servidão. - E tanto é assim, que o vizinho (desde que obtenha alvará de licença) poderá construir na divisa "ainda que a construção vede a claridade", como acrescentou o v. julgado do Pretório Excelso. - No mesmo sentido decidiu a E. Câmara em caso idêntico (Ap. Cv. 5.138-1, ac. de 07-10-80). Julgado em 17-03-1981 Revista dos Tribunais. Setembro, 1981 - Vol. 551 - Pág. 87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lapso de ano e dia preclui a pretensão ao desfazimento de janela aberta sem o recuo legal da divisa do imóvel, mas não faz nascer servidão.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do TJSP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2026-10-26T03:47:19.228Z</dcterms:created>
  <dcterms:modified xsi:type="dcterms:W3CDTF">2026-10-26T03:47:19.228Z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