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HONORÁRIOS DE ADVOGADO</w:t>
      </w:r>
    </w:p>
    <w:p>
      <w:r>
        <w:rPr>
          <w:i/>
          <w:iCs/>
          <w:color w:val="666666"/>
        </w:rPr>
        <w:t xml:space="preserve">CONDENAÇÃO DA PARTE VENCIDA</w:t>
      </w:r>
    </w:p>
    <w:p/>
    <w:p>
      <w:r>
        <w:rPr>
          <w:b/>
          <w:bCs/>
        </w:rPr>
        <w:t xml:space="preserve">Recurso: </w:t>
      </w:r>
      <w:r>
        <w:t xml:space="preserve">REsp 9.421-</w:t>
      </w:r>
    </w:p>
    <w:p>
      <w:r>
        <w:rPr>
          <w:b/>
          <w:bCs/>
        </w:rPr>
        <w:t xml:space="preserve">Relator: </w:t>
      </w:r>
      <w:r>
        <w:t xml:space="preserve">Garcia Vieira</w:t>
      </w:r>
    </w:p>
    <w:p/>
    <w:p>
      <w:r>
        <w:t xml:space="preserve">INCIDÊNCIA DE MULTA MORATÓRIA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leitura das peças informativas permite garimpar que, sob a afirmação de denúncia espontânea (art. 138, CTN), o litígio prende-se à obrigação, ou não, de o contribuinte pagar os juros de mora sem os acréscimos legais. - Nesse contexto, a falar de contrariedade aos arts. 106 e 138, do CTN, 17 da Lei 10.608/95, 17, II e 71 da Lei 6.537/73 e 23 da Lei 8.906/94, presentes os requisitos de admissibilidade, o recurso merece ser conhecido (art. 105, III, «a», CF). - Desimpedido o exame, a questão prenda-se aos efeitos da denúncia espontânea quanto à multa (art. 138, CTN). De efeito, em grau de apelação, em embargos à execução fiscal, o colendo Tribunal «a quo» constituiu acórdão assim ementado: «Tributário. Execução fiscal. Cabimento da cobrança de multa. Como em qualquer outro processo, cabe a imposição de verba honorária. Sentença confirmada.» (fl.) - Situa-se, assim, o debate ao derredor da aplicação, ou não, de multa em face de denúncia espontânea, antes de qualquer procedimento fiscal. A composição judicial pedida não enseja argumentação inédita, em exame de caso símile, votando no julgamento do REsp 9.421-PR, assoalhei: «... a trato de retardo no recolhimento de tributo objeto de auto-lançamento, sob o amanho de restrita compreensão das disposições do art. 138, CTN, opõe-se que a denúncia espontânea não suprime a multa moratória. Opinioso, todavia, possa afigurar-se, salvo por não se coadunar à interpretação teratológica, a parla na denúncia espontânea não tem parceria com restrita abrangência do s seus efeitos. O seu fim - como estímulo à arrecadação ou facilitação para reparar erros - não deve ser tangenciado. Demais, inexistente anterior processo administrativo fiscal, antecipada aquela denúncia, deve-se colacionar a inaplicação da multa, sob pena de ancorar-se no desânimo, levando à persistência da impontualidade, na cômoda espera de futuro chamamento fiscal. Por isso, pela confissão, purgada a falta, reconciliados contribuinte - fisco, não tem sentido lógico-jurídico a multa, granjeando imanente caráter punitivo. É desmesurada exigência incentivar a evasão de receita, enfraquecendo-se a franquia interpretativa sinalizada nos arts. 112 e 128 - parte final - c/c o art. 138, CTN. Desconhecer o fato objetivo de que o contribuinte, antes de prévio procedimento fiscal, denunciou-se e fez os pagamentos, seria desconsiderar o espontâneo saneamento da falta, com censuráveis loas à multa punitiva, desfigurando a sua natureza jurídica.» («in» DJU de 19/10/92). - No mesmo sentido: «Tributário - Parcelamento - Denúncia Espontânea. No pagamento do tributo sem antecedente procedimento administrativo, descabe a imposição de multa, caracterizando-se a denúncia espontânea. Bem assim, tendo o pedido de parcelamento do débito sido deferido. Recurso provido.» (REsp 251.214-SP, Rel. Min. Garcia Vieira, «in» DJU de 14/08/00); «Tributário. IRPJ. Microempresa. Declaração Atrasada. Denúncia Espontânea. Multa. Descabimento. Art. 138/CTN. Precedentes. 1. O art. 138/CTN afasta a responsabilidade do contribuinte quando denunciada a infração, espontaneamente, antes de qualquer procedimento administrativo. 2. No caso dos autos, reconhecida pela recorrente que os recorridos estavam desobrigados do pagamento do imposto, é incabível a aplicação da multa. 3. Recurso especial improvido.» (REsp 192.489-RS, Rel. Min. Francisco Peçanha Martins, «in» DJU de 19/06/00) Ac. de 20-02-2001 DJ de 11-06-2001 (Reg. nº 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Sem antecedente procedimento administrativo descabe a imposição de multa. Exigí-la, seria desconsiderar o voluntário saneamento da falta, malferindo o fim inspirador da denúncia espontânea e animando o contribuinte a permanecer na indesejada via da impontualidade, comportamento prejudicial à arrecadação da receita tributária, principal objetivo da atividade fiscal.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2026-10-16T16:35:03.117Z</dcterms:created>
  <dcterms:modified xsi:type="dcterms:W3CDTF">2026-10-16T16:35:03.117Z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