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Julgado em: </w:t>
      </w:r>
      <w:r>
        <w:t xml:space="preserve">23/03/1982</w:t>
      </w:r>
    </w:p>
    <w:p/>
    <w:p>
      <w:r>
        <w:t xml:space="preserve">PRAZO PARA SUA INTERPOSIÇÃO —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Decidem assim, integrando a este o relatório..., na forma regimental. - A preliminar de decadência, suscitada relativamente à segunda das ações, não merece acolhida, não obstante amparada em conhecidas e valiosas opiniões de PONTES DE MIRANDA e BARBOSA MOREIRA. - A ação rescisória visa a desconstituição da coisa julgada e esta, a teor do art. 467 do vigente estatuto processual, assim denomina a eficácia que torna imutável e indiscutível a sentença não mais sujeita a recurso ordinário ou extraordinário. - Não há lugar, assinale, para a distinção entre recursos ordinários e extraordinários para o efeito de formação da coisa julgada. - Por outro lado, a afirmação de que o não conhecimento do recurso extraordinário importa na afirmação de que era incabível, do que resultaria o trânsito julgado a partir da publicação do acórdão recorrido, sobre ser elegante construção doutrinária, porém sem arrimo em expressa disposição de lei, gera desastrosas conseqüência de ordem prática. - Assim é que, manifestado o apelo extraordinário e enquanto pendente este, o que poderá perdurar por longo tempo, face a notória pletora de efeitos submetidos ao Pretório Excelso, estaria o interessado inibido de ajuizar ação rescisória, porque não formada a coisa julgada, e, na hipótese de não conhecimento, decairia do direito de pleitear a desconstituição do julgado da instância ordinária. - Não se diga que à parte é lícito, em caso de ser duvidosa a admissibilidade do recurso extraordinário, não o interpor e partir desde logo, para ação rescisória. - Tal colocação, entretanto, não é curial, pois pressuposto das duas vias e os objetivos delas são perfeitamente distintos. Por outro lado, não há como se vedar, sem expressa disposição de lei, o ingresso da parte de uma daquelas vias legais. - Daí a rejeição da prejudicial de decadência. - ............................................................... - Julgam-se, pois, improcedentes os pedidos de rescisão, impondo-se aos vencidos os ônus da sucumbência. Julgado em 24-03-1982 Arquivo do Ementário Forense, TJ/1.032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prazo, decadencial, para desconstituir sentença por ação rescisória conta-se do momento em que se forma a coisa julgada, tornando-se imutável aquela pelo exaurimento dos recursos, ordinários ou não. - Manifestado o Recurso Extraordinário conta-se o prazo do pronunciamento do Pretório Excelso, ainda que no sentido do não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2026-07-28T01:27:58.644Z</dcterms:created>
  <dcterms:modified xsi:type="dcterms:W3CDTF">2026-07-28T01:27:58.644Z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