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Julgado em: </w:t>
      </w:r>
      <w:r>
        <w:t xml:space="preserve">21/12/1981</w:t>
      </w:r>
    </w:p>
    <w:p/>
    <w:p>
      <w:r>
        <w:t xml:space="preserve">INCIDÊNCIA — CASO EM QUE É INCABÍVEL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Curadoria de Família opinou no sentido de ser tornada definitiva a pensão provisória fixada no valor de CR$ 4.000,00 (quatro mil cruzeiros). ( ... ). Entretanto, a r. sentença apelada, sem prova dos ganhos do réu, a fixou em Cr$ 8.000,00 (oito mil cruzeiros), determinando ainda a correção monetária da mesmo pelos índices das ORTNs. Todavia, assalariado não pode suportar correção monetária de pensão alimentar por não ter salário corrigido pelo citados índices. Justifica-se, data venia, a incidência da correção monetária somente quando mantém o alimentante padrão de vida demonstrativo de poder suportá-la. Nesse caso a aparência justifica a correção monetária. Mas, quando assalariado, como é o caso do apelante, a solução correta, data venia, é a fixação em base percentual, que possibilita a pensão acompanhar de perto e automaticamente o aumento dos ganhos do alimentante. Todavia, tal situação de aparência inexiste no presente caso. Poderia o Dr. juiz a quo, ex officio, oficiar ao Clube Israelita Brasileiro indagando os ganhos do apelante ou oficiar ao IR, solicitado cópias de sua últimas declarações de renda e de bens. Mas, tal não fez. Daí fixá-la em quantia certa, no dobro que o ministério público opinou. Por isso a Câmara da provimento parcial ao recurso para excluir da condenação a incidência da correção monetária, mantendo o quantum fixado. tendo o apelante pleiteado a redução da pensão, a exclusão da correção monetária é forma de reduzí-la, enquadrando-se assim no pedido. A autora, que é decoradora, tem condições para exercer profissão lucrativa, tendo também o devedor de sustentar os filhos. Julgado em 22-12-1981 Arquivo do Ementário Foren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assalariado, que não tem seus ganhos corrigidos semestralmente pelo índices das ORTNs incabível a incidência da correção monetária, que só deve ser aplicada, quando o alimentante mantiver padrão de vida demonstrativo do poder suportá-la,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2026-10-16T16:29:56.649Z</dcterms:created>
  <dcterms:modified xsi:type="dcterms:W3CDTF">2026-10-16T16:29:56.649Z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