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APROPRIAÇÃO INDÉBITA</w:t>
      </w:r>
    </w:p>
    <w:p/>
    <w:p>
      <w:r>
        <w:rPr>
          <w:b/>
          <w:bCs/>
        </w:rPr>
        <w:t xml:space="preserve">Julgado em: </w:t>
      </w:r>
      <w:r>
        <w:t xml:space="preserve">18/06/1981</w:t>
      </w:r>
    </w:p>
    <w:p/>
    <w:p>
      <w:r>
        <w:t xml:space="preserve">NOME DO ADVOGADO — FALTA -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E.C.P. recebeu procuração de todos e de cada dos Autores, ora recorrentes, para representá-los em juízo. No curso do processo, substabeleceu na pessoa de outro advogado, o Dr. J.S.N., os poderes que lhe haviam sido outorgados por D.O...., com reserva de iguais poderes para si. O substabelecimento somente se verificou, assim, relativamente aos poderes conferidos pelo Autor D.O., não se compreendendo, no dito substabelecimento, os poderes outorgados pelos demais litisconsortes. Quanto a estes, era imperativo, por conseguinte, constante da publicação do despacho, onde se determinava o recolhimento da importância concernente ao preparo, o nome, ao menos, de um dos seus procuradores. Isto, todavia, não ocorreu, porquanto somente figurou na publicação o nome do Dr. J.S.N., que era procurador somente de D.O., um dos litisconsortes. Não tem aplicação ao caso, destarte, o princípio acolhido pela jurisprudência, inclusive desta Corte, de que, havendo mais de um procurador, basta a publicação do nome de um deles, para que se tenha como hábil e eficaz a intimação, uma vez que na publicação se mencionou o nome do advogado que era procurador somente de um litisconsortes, isto é, D.O.. - ............................................................ - Ante o exposto, conheço do recurso e lhe dou provimento para que o Egrégio Tribunal a quo, afastada a preliminar de deserção, julgue a apelação dos ora recorrentes, como for de direito. Julgado em 19-06-1981 Revista Trimestral de Jurisprudência, Janeiro, 1982 - Vol. 99 - Pág. 471 EMFOR 405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Nula é a intimação pela imprensa se da publicação não constou o nome do advogado dos demais litisconsortes. (CPC, arts. 49 e 236, § 1º).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2026-07-27T23:41:02.399Z</dcterms:created>
  <dcterms:modified xsi:type="dcterms:W3CDTF">2026-07-27T23:41:02.399Z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