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APROPRIAÇÃO INDÉBITA</w:t>
      </w:r>
    </w:p>
    <w:p/>
    <w:p>
      <w:r>
        <w:rPr>
          <w:b/>
          <w:bCs/>
        </w:rPr>
        <w:t xml:space="preserve">Julgado em: </w:t>
      </w:r>
      <w:r>
        <w:t xml:space="preserve">08/10/1978</w:t>
      </w:r>
    </w:p>
    <w:p/>
    <w:p>
      <w:r>
        <w:t xml:space="preserve">OUTORGA MARITAL — QUANDO NÃO É EXIGÍVEL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antigo nº VIII, hoje nº IV, do art. 242 do CC, diz que a mulher não pode, sem autorização do marido, contrair obrigações que importem em alheação dos bens do casal. Aliás, o art. 42 do Dec. 2.044/108 diz que a mulher casada não pode, sem autorização marital, assumir obrigações cambial. E SILVIO RODRIGUES diz: «A proibição recai sobre a mulher porque em sua atividade, geralmente, não tem de recorrer ao crédito. Todavia, a proibição não a abrange quando exerce profissão lucrativa, diferente da do marido, pois, em tal caso, terá direito de praticar todos os atos inerentes ao exercício e defesa de sua atividade» («Direito Civil», 16/141). E este mesmo Tribunal decidiu recentemente: «Subsiste e permanece integra a formalidade da prévia autorização marital, a fim de que a mulher de prendas domésticas, assuma obrigação cambial» («LEMI», 104/236). - Em conclusão: nula é a promissória... e, por isso, conheço do apelo e lhe dou provimento para, reformando a sentença recorrida..., julgar procedentes os embargos, sendo o exequente carecedor da ação proposta, pagas por ele as custas do processo e os honorários de advogado na base de 10% sobre o valor do pedido. Julgado em 09-10-1978 Revista dos Tribunais. Março, 1980 - Vol. 533 - Pág. 175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depois da edição de seu estatuto Lei 4.121/62 - a mulher casada não tem plena capacidade para obrigar-se cambialmente, sem assistência do marido, salvo se comerciar em nome próprio, ou associada a outrem.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2026-10-26T03:42:39.596Z</dcterms:created>
  <dcterms:modified xsi:type="dcterms:W3CDTF">2026-10-26T03:42:39.596Z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