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APROPRIAÇÃO INDÉBITA</w:t>
      </w:r>
    </w:p>
    <w:p/>
    <w:p/>
    <w:p>
      <w:r>
        <w:t xml:space="preserve">LEI 6.385 DE 07-12-1976 —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10.411, DE 26 DE FEVEREIRO DE 2002 Altera e acresce dispositivos à Lei nº 6.385, de 7 de dezembro de 1976, que dispõe sobre o mercado de valores mobiliários e cria a Comissão de Valores Mobiliários. Faço saber que o Presidente da República adotou a Medida Provisória nº 8, de 2001, que o Congresso Nacional aprovou, e eu, Ramez Tebet, Presidente da Mesa do Congresso Nacional, para os efeitos do disposto no art. 62 da Constituição Federal, com a redação dada pela Emenda Constitucional nº 32, de 2001, promulgo a seguinte Lei: Art. 1o Os arts. 5o, 6o, 16 e 18 da Lei nº 6.385, de 7 de dezembro de 1976, passam a vigorar com a seguinte redação: "Art. 5o É instituída a Comissão de Valores Mobiliários, entidade autárquica em regime especial, vinculada ao Ministério da Fazenda, com personalidade jurídica e patrimônio próprios, dotada de autoridade administrativa independente, ausência de subordinação hierárquica, mandato fixo e estabilidade de seus dirigentes, e autonomia financeira e orçamentária." (NR) "Art. 6o A Comissão de Valores Mobiliários será administrada por um Presidente e quatro Diretores, nomeados pelo Presidente da República, depois de aprovados pelo Senado Federal, dentre pessoas de ilibada reputação e reconhecida competência em matéria de mercado de capitais. § 1o O mandato dos dirigentes da Comissão será de cinco anos, vedada a recondução, devendo ser renovado a cada ano um quinto dos membros do Colegiado. § 2o Os dirigentes da Comissão somente perderão o mandato em virtude de renúncia, de condenação judicial transitada em julgado ou de processo administrativo disciplinar. § 3o Sem prejuízo do que prevêem a lei penal e a lei de improbidade administrativa, será causa da perda do mandato a inobservância, pelo Presidente ou Diretor, dos deveres e das proibições inerentes ao cargo. § 4o Cabe ao Ministro de Estado da Fazenda instaurar o processo administrativo disciplinar, que será conduzido por comissão especial, competindo ao Presidente da República determinar o afastamento preventivo, quando for o caso, e proferir o julgamento. § 5o No caso de renúncia, morte ou perda de mandato do Presidente da Comissão de Valores Mobiliários, assumirá o Diretor mais antigo ou o mais idoso, nessa ordem, até nova nomeação, sem prejuízo de suas atribuições. § 6o No caso de renúncia, morte ou perda de mandato de Diretor, proceder-se-á à nova nomeação pela forma disposta nesta Lei, para completar o mandato do substituído." (NR) "Art. 16. .................................................................................... .................................................................................... III - mediação ou corretagem de operações com valores mobiliários; e IV - compensação e liquidação de operações com valores mobiliários. ...................................................................................." (NR) "Art. 18. Compete à Comissão de Valores Mobiliários: I - editar normas gerais sobre: a) condições para obter autorização ou registro necessário ao exercício das atividades indicadas no art. 16, e respectivos procedimentos administrativos; b) requisitos de idoneidade, habilitação técnica e capacidade financeira a que deverão satisfazer os administradores de sociedades e demais pessoas que atuem no mercado de valores mobiliários; c) condições de constituição e extinção das Bolsas de Valores, entidades do mercado de balcão organizado e das entidades de compensação e liquidação de operações com valores mobiliários, forma jurídica, órgãos de administração e seu preenchimento; d) exercício do poder disciplinar pelas Bolsas e pelas entidades do mercado de balcão organizado, no que se refere às negociações com valores mobiliários, e pelas entidades de compensação e liquidação de operações com valores mobiliários, sobre os seus membros, imposição de penas e casos de exclusão; ..................................................... ............................... f) administração das Bolsas, das entidades do mercado de balcão organizado e das entidades de compensação e liquidação de operações com valores mobiliários; emolumentos, comissões e quaisquer outros custos cobrados pelas Bolsas e pelas entidades de compensação e liquidação de operações com valores mobiliários ou seus membros, quando for o caso; .................................................................................... h) condições de constituição e extinção das Bolsas de Mercadorias e Futuros, forma jurídica, órgãos de administração e seu preenc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2026-10-26T02:53:28.009Z</dcterms:created>
  <dcterms:modified xsi:type="dcterms:W3CDTF">2026-10-26T02:53:28.009Z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