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07/04/1980</w:t>
      </w:r>
    </w:p>
    <w:p/>
    <w:p>
      <w:r>
        <w:t xml:space="preserve">CRITÉRIO DE DIVISÃO DO VALOR DA DESAPROPRIAÇÃO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do acórdão recorrido, no caso não se discute resgate de enfiteuse, que é a hipótese disciplinada no art. 693 do Código Civil, mas sim, espécie diversa: a parcela da desapropriação que cabe ao senhorio direto. - Examinando essa matéria, entendeu o acórdão recorrido, em última análise, que nada impede que, no contrato de aforamento, as partes - como ocorreu no caso presente - estabeleçam critério de divisão do valor da desapropriação que não seja o previsto no citado artigo 693, relativo a resgate, de que se vale a jurisprudência, por aplicação analógica, no silêncio das partes naquele contrato. - Assim decidindo, o acórdão recorrido não negou vigência ao mencionado dispositivo legal, que versa hipótese diversa da discutida nos autos e que não é ofendido, evidentemente quando se entende que sua aplicação analógica só se dá se as partes não houveram feito ajuste em sentido contrário, ajuste esse que não é vedado por qualquer dispositivo legal expresso, nem frauda os princípios cogentes do artigo 693, do Código Civil, que existem para que o senhorio direto não dificulte o resgate, o que não pode ocorrer em se tratando de desapropriação. - Por outro lado, existe o pretendido dissídio de jurisprudência, pois os acórdãos trazidos a confronto versaram, pelo que se infere dos textos existentes nos autos, que, como salientei acima, é diversa. - Em face do exposto, não conheço do presente recurso. Julgado em 08-04-1980 VOTO VENCIDO DO MINISTRO CORDEIRO GUERRA: - ... "datíssima vênia", conheço do recurso e lh e dou provimento para reconhecer a nulidade de cláusula inserta no contrato de traspasse de aforamento, por infringência do caráter perpétuo do contrato enfitêutico e da inalterabilidade dos foros e laudêmios e porque o valor real do domínio direto - o fixado para os casos de resgate, em tudo aplicável às expropriatórias. - Aliás, a cláusula impugnada não deixa dúvida sobre a intenção do senhorio de equiparar a hipótese de desapropriação à do resgate, pois é expressa em dizer: "Também na remissão cabe-lhe um terço do seu valor real" ... - Outrossim, cumpre salientar, que não se trata de primeiro aforamento, pois do título do recorrente consta que esta adquiriu o domínio útil, compra, a enfiteuta preexistente, ... - É o meu voto. Revista Trimestral de Jurisprudência. Agosto, 1981 - Vol. 97 - Pág. 846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considera válida a cláusula no contrato de aforamento em que se ajusta critério de divisão do valor da desapropriação entre senhorio direto e enfiteuta não nega vigência ao citado art. 693, pela simples circunstância de que ele versa hipótese diversa (a do resgate), e a não-aplicação analógica de um dispositivo evidentemente não o viola.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2026-10-26T02:35:39.703Z</dcterms:created>
  <dcterms:modified xsi:type="dcterms:W3CDTF">2026-10-26T02:35:39.703Z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