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/>
    <w:p>
      <w:r>
        <w:t xml:space="preserve">EXECUÇÃO EXTRAJUDICIAL E REQUERIMENTO DE FALÊNCIA — SE A IMPORTA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Estou em que bem apreciou a hipótese o erudito parecer da Procuradoria-Geral da República. Atendeu-se para a circunstância de que o art. 2º, I, da Lei de Falências, considera caracterizada a falência se o comerciante, executado, não paga, não deposita a importância, ou não nomeia bens à penhora, dentro do prazo legal. - Já se vê que a sucessividade entre a execução extrajudicial e o requerimento da falência, este com base no desatendimento daquela, não importa automaticamente em litispendência, haja vista que a não caracterização desse pressuposto falencial reclama necessariamente uma apreciação do mérito. - Eximir-se, de plano, a essa apreciação de mérito importa em negar vigência ao dispositivo falimentar, que confere ação ao credor, para propor o concurso universal, quando não satisfeito ou seguro na execução singular. - Com essa mesma decisão se extrapola o alcance do art. 301, §§ 1º e 2º do CPC, pois se, naquele preceito da lei específica, a ação tendente à declaração de falência supõe o exercício daquela outra, e, no caso, a ela se reporta, não são elas idênticas, não podendo ser tida a segunda, - para usar as expressões do Código, - como reprodução da anteriormente ajuizada, mesmo porque elas não são intercambiáveis, podendo mesmo dizer-se que uma é pressuposto da outra. - Incorre, portanto, em relação às duas causas, em foco, que são logicamente sucessivas, identidade da causa de pedir e do pedido, como está corretamente equacionado no douto parecer, que tenho por incorporado a este voto, em consonância, com o qual dou provimento ao recurso, a fim de que, afastada a litispendência julguem as instâncias ordinárias os aspectos remanescentes da caus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sucessividade entre a execução extrajudicial e o requerimento da falência, este com base no desatendimento daquela, não importa em litispendência, haja vista a inexistência da identidade de pedido e de causa de pedir.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2026-10-26T02:34:38.982Z</dcterms:created>
  <dcterms:modified xsi:type="dcterms:W3CDTF">2026-10-26T02:34:38.982Z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