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APROPRIAÇÃO INDÉBITA</w:t>
      </w:r>
    </w:p>
    <w:p/>
    <w:p>
      <w:r>
        <w:rPr>
          <w:b/>
          <w:bCs/>
        </w:rPr>
        <w:t xml:space="preserve">Julgado em: </w:t>
      </w:r>
      <w:r>
        <w:t xml:space="preserve">23/06/1980</w:t>
      </w:r>
    </w:p>
    <w:p/>
    <w:p>
      <w:r>
        <w:t xml:space="preserve">RESPEITO AO CONTRATO — COMO SE CONCEITUA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imóvel foi adquirido em 7 de junho de 1978, havendo recebido os alugueres subseqüentes, após prévia comunicação por escrito do locatário, no sentido de que lhe deveria pagar os locativos, ... - Se assim ocorre, subrogou-se nos direitos à locação, que, expressamente reconheceu, abrindo mão assim do direito previsto no art. 1.197 do Código de Processo Civil, de nada valendo a notificação para efeitos de retomada que procedeu, porque ainda vigente o contrato de locação. - Por tais motivos, improcede a ação. Julgado em 24-06-1980 VOTO VENCIDO DO JUIZ JOSÉ EDVALDO TAVARES (relator): "Data venia" da douta maioria, nego provimento ao recurso, porque, em se tratando de locação comercial, cujo contrato não se encontra averbado ou registrado, a aquisição do imóvel por terceiro garante a retomada, eis que ele não está obrigado a respeitar a locação, irrelevante que é o recebimento dos alugueres. Arquivo do Ementário Forense, TA/383 EMFOR 404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Embora não conste do contrato de locação comercial cláusula que obrigue a respeitá-lo, o recebimento subseqüente do aluguel, sem qualquer ressalva, implica no reconhecimento da locação e na renúncia ao direito previsto no art. 1.197 do Código de Processo Civil.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2026-07-28T02:13:28.793Z</dcterms:created>
  <dcterms:modified xsi:type="dcterms:W3CDTF">2026-07-28T02:13:28.793Z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