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Recurso: </w:t>
      </w:r>
      <w:r>
        <w:t xml:space="preserve">RE 85.587</w:t>
      </w:r>
    </w:p>
    <w:p>
      <w:r>
        <w:rPr>
          <w:b/>
          <w:bCs/>
        </w:rPr>
        <w:t xml:space="preserve">Julgado em: </w:t>
      </w:r>
      <w:r>
        <w:t xml:space="preserve">04/12/1980</w:t>
      </w:r>
    </w:p>
    <w:p/>
    <w:p>
      <w:r>
        <w:t xml:space="preserve">PRAZO CINCO ANOS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174 do Código Tributário Nacional é expresso: "A ação para cobrança do crédito tributário prescreve em cinco anos, contados da data de sua constituição definitiva". - A executada foi autuada em 7 de março de 1972, houve vários recursos, e afinal o Tribunal de Impostos e Taxas decidiu, definitivamente, em 4 de maio de 1977, pela subsistência do auto de infração, embora com redução da multa como esclarece o voto do ilustre Desembargador RODRIGUES PORTO... que bem observou: "enquanto não decidido o processo administrativo, não podia o Fisco constituir o crédito tributário, assim, o prazo de cinco anos previsto na lei não teve curso durante o andamento do processo administrativo, até final decisão do TIT. É o que determina o art. 151 do CTN", "suspendem a exigibilidade do crédito tributário ... III - as reclamações e os recursos, nos termos das leis reguladoras, no processo administrativo". - Ora, na espécie, o crédito só se constitui definitivamente em 4 de maio de 1977, e a execução foi proposta em 9 de outubro de 1977, citados os executados em 18-11-1977, antes, portanto, de consumada a prescrição. - Aliás, já se decidiu no RE 85.587, SP: "Crédito Tributário. A constituição definitiva do crédito não se dá com a inscrição, mas com o lançamento. Não basta, entretanto, o lançamento, pois sendo ele suscetível de impugnação pelo sujeito passivo, o crédito, a que o lançamento se refere, não é definitivo antes de julgada a impugnação, se esta tiver sido oferecida no prazo legal. RE conhecido e provido." (Rel. Sr. Ministro LEITÃO DE ABREU - RTJ 89/939). - Assim sendo, acolhendo o parecer do ilustre Procur ador MOACYR ANTONIO MACHADO DA SILVA, conheço do recurso e lhe dou provimento, para que prossiga a execução como de direito. - É o meu voto. Julgado em 05-12-1980 Revista Trimestral de Jurisprudência. Agosto, 1981 - Vol. 97 - Pág. 912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Impugnado o lançamento regularmente notificado ao sujeito passivo, mediante reclamação ou recurso, o prazo prescricional deve ser contado na data da decisão final administrativa, que constitui definitivamente o crédito tributário (CNT, art. 174).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2026-07-28T02:49:51.694Z</dcterms:created>
  <dcterms:modified xsi:type="dcterms:W3CDTF">2026-07-28T02:49:51.694Z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