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RE 85.587</w:t>
      </w:r>
    </w:p>
    <w:p>
      <w:r>
        <w:rPr>
          <w:b/>
          <w:bCs/>
        </w:rPr>
        <w:t xml:space="preserve">Julgado em: </w:t>
      </w:r>
      <w:r>
        <w:t xml:space="preserve">04/12/1980</w:t>
      </w:r>
    </w:p>
    <w:p/>
    <w:p>
      <w:r>
        <w:t xml:space="preserve">PRAZO CINCO ANOS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174 do Código Tributário Nacional é expresso: "A ação para cobrança do crédito tributário prescreve em cinco anos, contados da data de sua constituição definitiva". - A executada foi autuada em 7 de março de 1972, houve vários recursos, e afinal o Tribunal de Impostos e Taxas decidiu, definitivamente, em 4 de maio de 1977, pela subsistência do auto de infração, embora com redução da multa como esclarece o voto do ilustre Desembargador RODRIGUES PORTO... que bem observou: "enquanto não decidido o processo administrativo, não podia o Fisco constituir o crédito tributário, assim, o prazo de cinco anos previsto na lei não teve curso durante o andamento do processo administrativo, até final decisão do TIT. É o que determina o art. 151 do CTN", "suspendem a exigibilidade do crédito tributário ... III - as reclamações e os recursos, nos termos das leis reguladoras, no processo administrativo". - Ora, na espécie, o crédito só se constitui definitivamente em 4 de maio de 1977, e a execução foi proposta em 9 de outubro de 1977, citados os executados em 18-11-1977, antes, portanto, de consumada a prescrição. - Aliás, já se decidiu no RE 85.587, SP: "Crédito Tributário. A constituição definitiva do crédito não se dá com a inscrição, mas com o lançamento. Não basta, entretanto, o lançamento, pois sendo ele suscetível de impugnação pelo sujeito passivo, o crédito, a que o lançamento se refere, não é definitivo antes de julgada a impugnação, se esta tiver sido oferecida no prazo legal. RE conhecido e provido." (Rel. Sr. Ministro LEITÃO DE ABREU - RTJ 89/939). - Assim sendo, acolhendo o parecer do ilustre Procur ador MOACYR ANTONIO MACHADO DA SILVA, conheço do recurso e lhe dou provimento, para que prossiga a execução como de direito. - É o meu voto. Julgado em 05-12-1980 Revista Trimestral de Jurisprudência. Agosto, 1981 - Vol. 97 - Pág. 912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Impugnado o lançamento regularmente notificado ao sujeito passivo, mediante reclamação ou recurso, o prazo prescricional deve ser contado na data da decisão final administrativa, que constitui definitivamente o crédito tributário (CNT, art. 174).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2026-10-26T02:38:09.469Z</dcterms:created>
  <dcterms:modified xsi:type="dcterms:W3CDTF">2026-10-26T02:38:09.469Z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