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Julgado em: </w:t>
      </w:r>
      <w:r>
        <w:t xml:space="preserve">29/09/1980</w:t>
      </w:r>
    </w:p>
    <w:p/>
    <w:p>
      <w:r>
        <w:t xml:space="preserve">CRÉDITO — SE COMO TAL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diploma processual anterior facultava a ação executiva, hoje transmudada em processo autônomo de execução, do credor por conta-corrente reconhecida pelo devedor. - A conta-corrente a que se referia tal diploma, não era simplesmente aquilo que tomava a forma gráfica de deve e haver, seguida da forma das respectivas parcelas e saldos, mas o contrato conta-corrente, vale dizer, uma relação jurídica de conta-corrente com os direitos e deveres que caracterizam o instituto. - O Código de 1939 se satisfazia em que o crédito fosse reconhecido pelo devedor, não exigindo fossem as contas, com respectivo saldo devedor, assinadas por este. - Daí explicar PONTES DE MIRANDA (Com. ao Código de Proc. Civil vol. III, 1, pág. 70), que o reconhecimento das contas poderiam ser por escrito ou não. Se o contrato prevê o caso de apresentação das contas, ou balanços periódicos, e a falta de acusação do recebimento, com a cominação de se terem por bons e reconhecidos, reconhecimento há. - Afirma o ilustre Dr. Juiz "a quo", que o autor não exibiu documento assinado pelo devedor "do qual conste a obrigação de pagar quantia determinada", na medida exigida pelo art. 585, II, do Código de Processo Civil. - Tal afirmação, contudo, não se nos afigura correta, pois há contrato de abertura de crédito em conta-corrente, assinado pelo devedor, com cláusula expressa no sentido de que a obrigação de pagar a quantia determinada resulta da apuração dos débitos realizados na conta, reconhecidos pelo recebimento dos extratos demonstrativos e avisos de lançamento, expedidos pelo creditador, sem protesto do creditado. - Não se trata, como já se disse alhures, de admitir "liquidez por antecipação", ma s considerar líquido e crédito decorrente do soldo devedor, reconhecido pelo correntista, nos termos da cláusula 9ª do contrato. - Impõe-se, "data venia", o provimento do recurso. Julgado em 30-09-1980 Arquivo do Ementário Forense, TA/384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crédito decorrente de conta-corrente reconhecida pelo devedor se insere entre os títulos executivos extrajudiciais por força da regra estampada no nº II do art. 585, do Código do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2026-10-26T02:45:24.223Z</dcterms:created>
  <dcterms:modified xsi:type="dcterms:W3CDTF">2026-10-26T02:45:24.223Z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