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MS 84.665</w:t>
      </w:r>
    </w:p>
    <w:p>
      <w:r>
        <w:rPr>
          <w:b/>
          <w:bCs/>
        </w:rPr>
        <w:t xml:space="preserve">Julgado em: </w:t>
      </w:r>
      <w:r>
        <w:t xml:space="preserve">28/10/1979</w:t>
      </w:r>
    </w:p>
    <w:p/>
    <w:p>
      <w:r>
        <w:t xml:space="preserve">REQUISITOS PARA SUA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segundo ponto reside em que, como bem acentuou o Ministro ARMANDO ROLEMBERG (AMS nº 84.665 - SP, in DJ de 05-07-79), "a aplicação da penalidade (pena de perdimento), rigorosa como é, só pode ter lugar quando, após o procedimento fiscal próprio, em que tenha sido dada ao importador oportunidade de defender-se, for proferida decisão pelo Ministro da Fazenda decretando-a, não bastante, para tal efeito, a só constatação do decurso de qualquer dos prazos previstos no referido dispositivo" (art. 23, do cit. Dec.-lei nº 1.455). - De sua vez, esta Egrégia Turma tem decidido no mesmo sentido, como se vê, dentre outros, dos seguintes acórdãos relatados pelo preclaro Ministro MÁRCIO RIBEIRO: AA.MM.SS, ns. 82.172 - RJ, 80.866 - SP, 83.090 - SP, 83.077 - SP, 81.694 - SP e 81.972 - SP. - No caso dos autos, as informações prestadas pelo Delegado da Receita Federal no Rio de Janeiro esclarecem que: a) lhe cabe apenas cumprir o estatuído no art. 23, II, letra a, e seu parágrafo único, do Decreto-lei nº 1.455/76. b) no tocante à mercadoria transportada pelo valor Estrela, houve a lavratura do auto de infração, sendo ela arrolada em Termo de Apreensão; e) quanto à restante mercadoria (...), tal procedimento ainda não se concretizou, tendo o processo baixado ao Grupo de Perdimento para este fim; d) os processos administrativos, previstos no art. 27 do aludido Decreto-lei nº 1.455/76, terão o seu curso normal. - Em síntese, a pena de perdimento é imposta com todas as suas graves consequências, antes de praticamente iniciado o processo destinado a apurar a infração fiscal, passeando a letra morta o pré-aludido art. 27, onde se insere a, garantia legal ao importador. - A douta sentença citou o art. 27, mas não apreciou o seu alcance jurídico, demorando-se em transcrever trechos da "Exposição de Motivos" com que se justificou a edição do Decreto-lei nº 1.455/75 (89 a 92), o que, "data venia", não enfoca o aspecto fundamental da questão. Não se pode dar ênfase a determinados preceitos do Decreto-lei comentado, deixando, sem aplicação, exatamente aquele que confere a legitimidade jurídica à penalidade fiscal nele disciplinada. - Assim, não havendo decisão ministerial decretando a pena de perdimento, esta não pode prevalecer pelo simples decurso do prazo estabelecido no art. 23, inciso II, letra a. - Por estas considerações, dou provimento à apelação para conceder a segurança, nos termos do pedido. Julgado em 29-10-1979 Revista do Tribunal Federal de Recursos. Outubro a Dezembro, 1980 - nº 68 - Pág. 238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1.455/76, art. 23, II, "a" e art. 27. - Não havendo decisão ministerial decretando a pena de perdimento, esta não pode prevalecer pelo simples decurso do prazo estabelecido no art. 23, II, letra "a" do Decreto-lei nº 1.455/76.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2026-06-17T15:52:46.042Z</dcterms:created>
  <dcterms:modified xsi:type="dcterms:W3CDTF">2026-06-17T15:52:46.042Z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