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MS 84.665</w:t>
      </w:r>
    </w:p>
    <w:p>
      <w:r>
        <w:rPr>
          <w:b/>
          <w:bCs/>
        </w:rPr>
        <w:t xml:space="preserve">Julgado em: </w:t>
      </w:r>
      <w:r>
        <w:t xml:space="preserve">28/10/1979</w:t>
      </w:r>
    </w:p>
    <w:p/>
    <w:p>
      <w:r>
        <w:t xml:space="preserve">REQUISITOS PARA SUA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segundo ponto reside em que, como bem acentuou o Ministro ARMANDO ROLEMBERG (AMS nº 84.665 - SP, in DJ de 05-07-79), "a aplicação da penalidade (pena de perdimento), rigorosa como é, só pode ter lugar quando, após o procedimento fiscal próprio, em que tenha sido dada ao importador oportunidade de defender-se, for proferida decisão pelo Ministro da Fazenda decretando-a, não bastante, para tal efeito, a só constatação do decurso de qualquer dos prazos previstos no referido dispositivo" (art. 23, do cit. Dec.-lei nº 1.455). - De sua vez, esta Egrégia Turma tem decidido no mesmo sentido, como se vê, dentre outros, dos seguintes acórdãos relatados pelo preclaro Ministro MÁRCIO RIBEIRO: AA.MM.SS, ns. 82.172 - RJ, 80.866 - SP, 83.090 - SP, 83.077 - SP, 81.694 - SP e 81.972 - SP. - No caso dos autos, as informações prestadas pelo Delegado da Receita Federal no Rio de Janeiro esclarecem que: a) lhe cabe apenas cumprir o estatuído no art. 23, II, letra a, e seu parágrafo único, do Decreto-lei nº 1.455/76. b) no tocante à mercadoria transportada pelo valor Estrela, houve a lavratura do auto de infração, sendo ela arrolada em Termo de Apreensão; e) quanto à restante mercadoria (...), tal procedimento ainda não se concretizou, tendo o processo baixado ao Grupo de Perdimento para este fim; d) os processos administrativos, previstos no art. 27 do aludido Decreto-lei nº 1.455/76, terão o seu curso normal. - Em síntese, a pena de perdimento é imposta com todas as suas graves consequências, antes de praticamente iniciado o processo destinado a apurar a infração fiscal, passeando a letra morta o pré-aludido art. 27, onde se insere a, garantia legal ao importador. - A douta sentença citou o art. 27, mas não apreciou o seu alcance jurídico, demorando-se em transcrever trechos da "Exposição de Motivos" com que se justificou a edição do Decreto-lei nº 1.455/75 (89 a 92), o que, "data venia", não enfoca o aspecto fundamental da questão. Não se pode dar ênfase a determinados preceitos do Decreto-lei comentado, deixando, sem aplicação, exatamente aquele que confere a legitimidade jurídica à penalidade fiscal nele disciplinada. - Assim, não havendo decisão ministerial decretando a pena de perdimento, esta não pode prevalecer pelo simples decurso do prazo estabelecido no art. 23, inciso II, letra a. - Por estas considerações, dou provimento à apelação para conceder a segurança, nos termos do pedido. Julgado em 29-10-1979 Revista do Tribunal Federal de Recursos. Outubro a Dezembro, 1980 - nº 68 - Pág. 238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1.455/76, art. 23, II, "a" e art. 27. - Não havendo decisão ministerial decretando a pena de perdimento, esta não pode prevalecer pelo simples decurso do prazo estabelecido no art. 23, II, letra "a" do Decreto-lei nº 1.455/76.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2026-10-26T04:41:37.996Z</dcterms:created>
  <dcterms:modified xsi:type="dcterms:W3CDTF">2026-10-26T04:41:37.996Z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