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MEDIDA CAUTELAR DE SUSPENSÃO</w:t>
      </w:r>
    </w:p>
    <w:p/>
    <w:p>
      <w:r>
        <w:rPr>
          <w:b/>
          <w:bCs/>
        </w:rPr>
        <w:t xml:space="preserve">Julgado em: </w:t>
      </w:r>
      <w:r>
        <w:t xml:space="preserve">23/02/1981</w:t>
      </w:r>
    </w:p>
    <w:p/>
    <w:p>
      <w:r>
        <w:t xml:space="preserve">SERVIÇO DE PRODUÇÃO PROMÍSCUA E SEM A MARCA INDIVIDUAL — TRIBUTAÇÃO APLICÁVEL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parágrafo 3° do art. 9º do Decreto-lei nº 406, de 1968, ao referir-se a "serviços prestados por sociedades", alcança, limitadamente, aquelas em que os trabalhos resultantes conservam normalmente a marca individual de seus autores, e não aquelas em que os trabalhos são de produção promíscua ou indistinta. - Por isso, menciona o Decreto-lei no referido dispositivo, a propósito dos serviços prestados "em nome da sociedade", a responsabilidade pessoal do prestador, nos termos da lei aplicável. - E o sócio, é o indivíduo, que transparece, diferentemente do que ocorre em sociedades prestadoras de serviços unificados pela marca comum, da empresa, não dos seus numerosos e indistintos autores. - Concluo, pois, a despeito das bem elaboradas razões em sentido contrário, que o entendimento esposado pelo acórdão recorrido tem cunho de razoabilidade, além de não ter contra si o entendimento dos acórdãos com que foi confrontado. - Nego provimento ao agravo. Julgado em 24-02-1981 Revista Trimestral de Jurisprudência. Julho, 1981 - Vol. 97 - Pág. 246 EMFOR 403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Empresa de grande porte, em que os trabalhos resultantes são de produção promíscua ou indistinta, sem característica de trabalho pessoal, não tem direito à tributação pela modalidade privilegiada do art. 9º § 1º do Decreto-lei nº 406, de 1968.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2026-09-11T00:29:02.355Z</dcterms:created>
  <dcterms:modified xsi:type="dcterms:W3CDTF">2026-09-11T00:29:02.355Z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