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Julgado em: </w:t>
      </w:r>
      <w:r>
        <w:t xml:space="preserve">23/02/1981</w:t>
      </w:r>
    </w:p>
    <w:p/>
    <w:p>
      <w:r>
        <w:t xml:space="preserve">SERVIÇO DE PRODUÇÃO PROMÍSCUA E SEM A MARCA INDIVIDUAL — TRIBUTAÇÃO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parágrafo 3° do art. 9º do Decreto-lei nº 406, de 1968, ao referir-se a "serviços prestados por sociedades", alcança, limitadamente, aquelas em que os trabalhos resultantes conservam normalmente a marca individual de seus autores, e não aquelas em que os trabalhos são de produção promíscua ou indistinta. - Por isso, menciona o Decreto-lei no referido dispositivo, a propósito dos serviços prestados "em nome da sociedade", a responsabilidade pessoal do prestador, nos termos da lei aplicável. - E o sócio, é o indivíduo, que transparece, diferentemente do que ocorre em sociedades prestadoras de serviços unificados pela marca comum, da empresa, não dos seus numerosos e indistintos autores. - Concluo, pois, a despeito das bem elaboradas razões em sentido contrário, que o entendimento esposado pelo acórdão recorrido tem cunho de razoabilidade, além de não ter contra si o entendimento dos acórdãos com que foi confrontado. - Nego provimento ao agravo. Julgado em 24-02-1981 Revista Trimestral de Jurisprudência. Julho, 1981 - Vol. 97 - Pág. 246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Empresa de grande porte, em que os trabalhos resultantes são de produção promíscua ou indistinta, sem característica de trabalho pessoal, não tem direito à tributação pela modalidade privilegiada do art. 9º § 1º do Decreto-lei nº 406, de 1968.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2026-10-26T02:24:20.522Z</dcterms:created>
  <dcterms:modified xsi:type="dcterms:W3CDTF">2026-10-26T02:24:20.522Z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