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13/08/1979</w:t>
      </w:r>
    </w:p>
    <w:p/>
    <w:p>
      <w:r>
        <w:t xml:space="preserve">SUA UTILIZAÇÃO EM TAL TIPO DE OPERAÇÕES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partir do julgamento dos RREE 90.209, 90.652 e 90.636, a 03-05-79, pelo Plenário desta Corte, firmou-se a orientação segundo a qual a garantia real (propriedade fiduciária) decorrente da alienação fiduciária em garantia pode ser utilizada nas operações de consórcio, que se situam no terreno do sistema financeiro nacional, e que se realizam sob a fiscalização do Poder Público, da mesma forma como ocorre com as operações celebradas pela financeiras em sentido estrito. - Em face do exposto, conheço do recurso, e lhe dou provimento. Julgado em 14-08-1979 Revista Trimestral de Jurisprudência. Novembro, 1980 - Vol. 94 - Pág. 864 (*) In "EMENTÁRIO FORENSE", Nº 393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real (propriedade fiduciária) decorrente da alienação fiduciária em garantia pode ser utilizada nas operações de consórcio, que se situam no terreno do sistema financeiro nacional, e que se realizam sob a fiscalização do Poder Público, da mesma forma como ocorre nas operações celebradas pelas financeiras em sentido estrito. Precedentes do Supremo Tribunal Federal (RREE 20.209, 90.636 (*) e 90.652),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2026-07-28T06:36:28.780Z</dcterms:created>
  <dcterms:modified xsi:type="dcterms:W3CDTF">2026-07-28T06:36:28.780Z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