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PROMESSA DE COMPRA E VENDA</w:t>
      </w:r>
    </w:p>
    <w:p>
      <w:r>
        <w:rPr>
          <w:i/>
          <w:iCs/>
          <w:color w:val="666666"/>
        </w:rPr>
        <w:t xml:space="preserve">INADIMPLÊNCIA DO PROMIT VENDEDOR</w:t>
      </w:r>
    </w:p>
    <w:p/>
    <w:p>
      <w:r>
        <w:rPr>
          <w:b/>
          <w:bCs/>
        </w:rPr>
        <w:t xml:space="preserve">Recurso: </w:t>
      </w:r>
      <w:r>
        <w:t xml:space="preserve">RE 67.791/</w:t>
      </w:r>
    </w:p>
    <w:p>
      <w:r>
        <w:rPr>
          <w:b/>
          <w:bCs/>
        </w:rPr>
        <w:t xml:space="preserve">Julgado em: </w:t>
      </w:r>
      <w:r>
        <w:t xml:space="preserve">21/05/1979</w:t>
      </w:r>
    </w:p>
    <w:p/>
    <w:p>
      <w:r>
        <w:t xml:space="preserve">NECESSIDADE DE PRÉVIA INTERPELAÇÃO JUDICIAL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Com efeito o acórdão recorrido vulnerou o art. 205 do Código Comercial e divergiu da decisão do Supremo Tribunal Federal proferida no RE nº 67.791/SP, relator o Ministro AMARAL SANTOS, cuja ementa é a seguinte: "Compra e Venda Mercantil. Necessidade de interpelação do devedor. Aplicação do art. 205 do Código Comercial. Nos contratos de compra e venda mercantil, a citação não supre a interpelação para a constituição do devedor em mora, em face de disposição expressa da lei (art. 205 do Código Comercial). Recurso extraordinário desprovido". - A notificação deveria ter antecedido a entrega dos ônibus, para que a vendedora fosse constituída em mora, de sorte que a citação inicial, realizada muito tempo depois dessa entrega, não teve o efeito de suprir a falta da notificação prévia, exigida no art. 205 do Código Comercial. - A clássica observação de J.X. CARVALHO DE MENDONÇA no sentido de que: "os tribunais têm julgado que a providência do art. 205 do Código Comercial, para constituir em mora o contratante inadimplente, pode ser feita pela mais enérgica das fórmulas de interpelação - a propositura da ação" (Tratado de Direito Comercial Brasileiro, vol. VI, parte II, pág. 206). - Tem aplicação às ações de rescisão do contrato e até àquelas que exigem a entrega da coisa prometida vender; não às que visam ao pagamento de muita estipulada em cláusula contratual, pelo atraso na entrega da coisa, ajuizadas depois que o comprador recebeu o objeto da obrigação sem protesto. Nesta última hipótese, que é a doa autos, a interpelação prévia é indispensável, "ex vi" do mencionado art. 205. - Assim é que deve ser interpretada a jurisprudên cia abundante que afasta a exigência do art. 205 do Código Comercial (RTJ 64/669 e 82/227). - Ante o exposto, conheço do recurso extraordinário e dou-lhe provimento, para julgar improcedente a ação (...). Julgado em 22-05-1979 Revista Trimestral de Jurisprudência. Março, 1981 - Vol. 95 - Pág. 1.158 EMFOR 400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Nas ações que visam o pagamento de multa contratual, faz-se necessária a interpelação prevista no art. 205 do Código Comercial, se a compradora recebeu com atraso, e sem protesto, a coisa objeto do negócio. (Ementa do EMENTÁRIO FORENSE)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2026-09-10T23:10:19.178Z</dcterms:created>
  <dcterms:modified xsi:type="dcterms:W3CDTF">2026-09-10T23:10:19.178Z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