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INADIMPLÊNCIA DO PROMIT VENDEDOR</w:t>
      </w:r>
    </w:p>
    <w:p/>
    <w:p>
      <w:r>
        <w:rPr>
          <w:b/>
          <w:bCs/>
        </w:rPr>
        <w:t xml:space="preserve">Julgado em: </w:t>
      </w:r>
      <w:r>
        <w:t xml:space="preserve">03/11/1981</w:t>
      </w:r>
    </w:p>
    <w:p/>
    <w:p>
      <w:r>
        <w:t xml:space="preserve">ÁREA UTILIZADA POR APENAS UM CONDÔMINO — SE ENTRE ELAS SE INCLUI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A perícia de engenharia, realizada no processo cautelar,... mostra a idade do edifício - idade maior de quinze anos, informando que as impermeabilizações não duram, de regra, dez anos, o que impõe uma outra, para fazer cessar as infiltrações. Além disso, argüiu o engenheiro ser insuficiente o número de ralos necessários ao escoamento das águas pluviais, o que é defeito de construção, pelo qual todos os co-proprietários são responsáveis. Fundaram-se, os julgados vencedores, em que, ocupando o Embargante, com exclusividade, a área descorta, de sua obrigação é a realização dos reparos. Tais decisões afrontam os arts. 745 e 732 do Código Civil, quando isentam o usuário e o usufrutuário, de pagar as deteriorizações resultantes do exercício regular do usufruto. - Fez o condomínio acordo com outro condômino em situação análoga, o qual faria, à própria custa, os reparos, se lhe fosse permitido construir ali. Revela a avença a insegurança do condomínio quanto à obrigação cobrada aqui no Embargante. - Uma hipótese contribui, ainda, para esclarecimento e solução da espécie: se, ao invés de ocupada e usada pelo Embargante a área, fosse ela fechada, sem que ninguém a usasse, teria o condomínio de, sozinho, arcar com as despesas dos reparos. A situação não se transmuda pelo uso normal da coisa por um dos sócios proprietários. Julgado em 04-11-1981 Arquivo do Ementário Forense, TJ/1.008 EMFOR 400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As obras necessárias, pelo curso do tempo e não derivadas da má conservação da área da propriedade comum, mas em uso exclusivo de um dos condôminos, são de responsabilidade do condomínio e não do condômino usuário ( Código Civil, arts. 732 e 745). (Ementa modificada pelo EMENTÁRIO FORENSE)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2026-06-17T16:30:36.878Z</dcterms:created>
  <dcterms:modified xsi:type="dcterms:W3CDTF">2026-06-17T16:30:36.878Z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