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INADIMPLÊNCIA DO PROMIT VENDEDOR</w:t>
      </w:r>
    </w:p>
    <w:p/>
    <w:p>
      <w:r>
        <w:rPr>
          <w:b/>
          <w:bCs/>
        </w:rPr>
        <w:t xml:space="preserve">Julgado em: </w:t>
      </w:r>
      <w:r>
        <w:t xml:space="preserve">03/11/1981</w:t>
      </w:r>
    </w:p>
    <w:p/>
    <w:p>
      <w:r>
        <w:t xml:space="preserve">ÁREA UTILIZADA POR APENAS UM CONDÔMINO — SE ENTRE ELAS SE INCLUI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perícia de engenharia, realizada no processo cautelar,... mostra a idade do edifício - idade maior de quinze anos, informando que as impermeabilizações não duram, de regra, dez anos, o que impõe uma outra, para fazer cessar as infiltrações. Além disso, argüiu o engenheiro ser insuficiente o número de ralos necessários ao escoamento das águas pluviais, o que é defeito de construção, pelo qual todos os co-proprietários são responsáveis. Fundaram-se, os julgados vencedores, em que, ocupando o Embargante, com exclusividade, a área descorta, de sua obrigação é a realização dos reparos. Tais decisões afrontam os arts. 745 e 732 do Código Civil, quando isentam o usuário e o usufrutuário, de pagar as deteriorizações resultantes do exercício regular do usufruto. - Fez o condomínio acordo com outro condômino em situação análoga, o qual faria, à própria custa, os reparos, se lhe fosse permitido construir ali. Revela a avença a insegurança do condomínio quanto à obrigação cobrada aqui no Embargante. - Uma hipótese contribui, ainda, para esclarecimento e solução da espécie: se, ao invés de ocupada e usada pelo Embargante a área, fosse ela fechada, sem que ninguém a usasse, teria o condomínio de, sozinho, arcar com as despesas dos reparos. A situação não se transmuda pelo uso normal da coisa por um dos sócios proprietários. Julgado em 04-11-1981 Arquivo do Ementário Forense, TJ/1.008 EMFOR 400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As obras necessárias, pelo curso do tempo e não derivadas da má conservação da área da propriedade comum, mas em uso exclusivo de um dos condôminos, são de responsabilidade do condomínio e não do condômino usuário ( Código Civil, arts. 732 e 745). (Ementa modificada pelo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2026-09-11T00:08:51.882Z</dcterms:created>
  <dcterms:modified xsi:type="dcterms:W3CDTF">2026-09-11T00:08:51.882Z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